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474" w:beforeLines="150" w:after="316" w:afterLines="100"/>
        <w:jc w:val="center"/>
        <w:textAlignment w:val="auto"/>
        <w:outlineLvl w:val="1"/>
        <w:rPr>
          <w:rFonts w:ascii="Times New Roman" w:hAnsi="Times New Roman" w:eastAsia="黑体"/>
          <w:sz w:val="24"/>
          <w:szCs w:val="24"/>
        </w:rPr>
      </w:pPr>
      <w:bookmarkStart w:id="0" w:name="_Toc2334"/>
      <w:bookmarkStart w:id="1" w:name="_Toc21484"/>
      <w:bookmarkStart w:id="2" w:name="_Toc11893"/>
      <w:bookmarkStart w:id="3" w:name="_Toc1867"/>
      <w:bookmarkStart w:id="4" w:name="_Toc168"/>
      <w:bookmarkStart w:id="5" w:name="_Toc17955"/>
      <w:bookmarkStart w:id="6" w:name="_Toc13698"/>
      <w:bookmarkStart w:id="7" w:name="_Toc9882"/>
      <w:bookmarkStart w:id="8" w:name="_Toc2273"/>
      <w:bookmarkStart w:id="9" w:name="_Toc12655"/>
      <w:bookmarkStart w:id="10" w:name="_Toc2276"/>
      <w:bookmarkStart w:id="11" w:name="_Toc32536"/>
      <w:bookmarkStart w:id="12" w:name="_Toc30697"/>
      <w:bookmarkStart w:id="13" w:name="_Toc11696"/>
      <w:bookmarkStart w:id="14" w:name="_Toc22725"/>
      <w:bookmarkStart w:id="15" w:name="_Toc72854493"/>
      <w:bookmarkStart w:id="16" w:name="_Toc1156"/>
      <w:bookmarkStart w:id="17" w:name="_Toc31343"/>
      <w:bookmarkStart w:id="18" w:name="_Toc20891"/>
      <w:bookmarkStart w:id="19" w:name="_Toc31399"/>
      <w:bookmarkStart w:id="20" w:name="_Toc14246"/>
      <w:bookmarkStart w:id="21" w:name="_Toc1029"/>
      <w:bookmarkStart w:id="22" w:name="_Toc20080"/>
      <w:bookmarkStart w:id="23" w:name="_Toc9849"/>
      <w:bookmarkStart w:id="24" w:name="_Toc14857"/>
      <w:bookmarkStart w:id="25" w:name="_Toc72854497"/>
      <w:bookmarkStart w:id="26" w:name="_Toc26231"/>
      <w:bookmarkStart w:id="27" w:name="_Toc8440"/>
      <w:bookmarkStart w:id="28" w:name="_Toc14462"/>
      <w:bookmarkStart w:id="29" w:name="_Toc17499"/>
      <w:bookmarkStart w:id="30" w:name="_Toc15046"/>
      <w:bookmarkStart w:id="31" w:name="_Toc28287"/>
      <w:bookmarkStart w:id="32" w:name="_Toc28860"/>
      <w:bookmarkStart w:id="33" w:name="_Toc23125"/>
      <w:r>
        <w:rPr>
          <w:rFonts w:hint="eastAsia" w:ascii="Times New Roman" w:hAnsi="Times New Roman" w:eastAsia="黑体"/>
          <w:sz w:val="24"/>
          <w:szCs w:val="24"/>
        </w:rPr>
        <w:fldChar w:fldCharType="begin"/>
      </w:r>
      <w:r>
        <w:rPr>
          <w:rFonts w:hint="eastAsia" w:ascii="Times New Roman" w:hAnsi="Times New Roman" w:eastAsia="黑体"/>
          <w:sz w:val="24"/>
          <w:szCs w:val="24"/>
        </w:rPr>
        <w:instrText xml:space="preserve"> HYPERLINK "javascript:void(0);" \o "添加到收藏夹" </w:instrText>
      </w:r>
      <w:r>
        <w:rPr>
          <w:rFonts w:hint="default" w:ascii="Times New Roman" w:hAnsi="Times New Roman" w:eastAsia="黑体"/>
          <w:sz w:val="24"/>
          <w:szCs w:val="24"/>
        </w:rPr>
        <w:fldChar w:fldCharType="separate"/>
      </w:r>
      <w:r>
        <w:rPr>
          <w:rFonts w:hint="eastAsia" w:ascii="Times New Roman" w:hAnsi="Times New Roman" w:eastAsia="黑体"/>
          <w:sz w:val="24"/>
          <w:szCs w:val="24"/>
        </w:rPr>
        <w:fldChar w:fldCharType="end"/>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default" w:ascii="Times New Roman" w:hAnsi="Times New Roman" w:eastAsia="黑体"/>
          <w:sz w:val="24"/>
          <w:szCs w:val="24"/>
        </w:rPr>
        <w:t xml:space="preserve">Supply Chain Due Diligence Policy for Mineral </w:t>
      </w:r>
    </w:p>
    <w:bookmarkEnd w:id="14"/>
    <w:p>
      <w:pPr>
        <w:pStyle w:val="45"/>
        <w:spacing w:before="157" w:after="157"/>
        <w:ind w:firstLine="480" w:firstLineChars="200"/>
        <w:rPr>
          <w:rFonts w:hint="default" w:ascii="Times New Roman" w:hAnsi="Times New Roman" w:cs="Times New Roman"/>
          <w:sz w:val="24"/>
          <w:szCs w:val="24"/>
        </w:rPr>
      </w:pPr>
      <w:r>
        <w:rPr>
          <w:rFonts w:hint="eastAsia" w:ascii="Times New Roman" w:hAnsi="Times New Roman"/>
          <w:sz w:val="24"/>
          <w:szCs w:val="24"/>
          <w:lang w:eastAsia="zh-CN"/>
        </w:rPr>
        <w:t>Recognizing</w:t>
      </w:r>
      <w:r>
        <w:rPr>
          <w:rFonts w:hint="default" w:ascii="Times New Roman" w:hAnsi="Times New Roman"/>
          <w:sz w:val="24"/>
          <w:szCs w:val="24"/>
        </w:rPr>
        <w:t xml:space="preserve"> that risks of significant adverse impacts which may be associated with extracting, trading, handling and exporting minerals from conflict-affected and high-risk areas, and that we have the responsibility to respect human rights and not contribute to conflict, Zijin Copper Co., Ltd. commit to adopt, widely disseminate and incorporate in contracts and/or agreements with suppliers the policy of Chinese Due Diligence Guidelines for Mineral Supply Chain, as representing a common reference for conflict sensitive sourcing practices and suppliers’ risk awareness from the point of extraction until end user. We commit not to get involved in any activities which contributes to the financing of conflict and we commit to comply with relevant United Nations sanctions resolutions or, where applicable, domestic laws implementing such resolutions. The types of materials covered by this Policy include: copper and copper containing materials.</w:t>
      </w:r>
      <w:bookmarkStart w:id="34" w:name="_Toc13356"/>
      <w:bookmarkStart w:id="35" w:name="_Toc24654"/>
      <w:bookmarkStart w:id="36" w:name="_Toc1537"/>
      <w:bookmarkStart w:id="37" w:name="_Toc15409"/>
    </w:p>
    <w:p>
      <w:pPr>
        <w:pStyle w:val="45"/>
        <w:spacing w:before="157" w:after="157"/>
        <w:rPr>
          <w:rFonts w:hint="default" w:ascii="Times New Roman" w:hAnsi="Times New Roman" w:cs="Times New Roman"/>
          <w:sz w:val="24"/>
          <w:szCs w:val="24"/>
        </w:rPr>
      </w:pPr>
      <w:r>
        <w:rPr>
          <w:rFonts w:hint="eastAsia" w:ascii="Times New Roman" w:hAnsi="Times New Roman" w:cs="Times New Roman"/>
          <w:b/>
          <w:bCs w:val="0"/>
          <w:sz w:val="24"/>
          <w:szCs w:val="24"/>
          <w:lang w:val="en-US" w:eastAsia="zh-CN"/>
        </w:rPr>
        <w:t xml:space="preserve">I </w:t>
      </w:r>
      <w:r>
        <w:rPr>
          <w:rFonts w:hint="default" w:ascii="Times New Roman" w:hAnsi="Times New Roman" w:cs="Times New Roman"/>
          <w:b/>
          <w:bCs w:val="0"/>
          <w:sz w:val="24"/>
          <w:szCs w:val="24"/>
          <w:lang w:val="en-US" w:eastAsia="zh-CN"/>
        </w:rPr>
        <w:t xml:space="preserve"> </w:t>
      </w:r>
      <w:r>
        <w:rPr>
          <w:rFonts w:hint="default" w:ascii="Times New Roman" w:hAnsi="Times New Roman" w:cs="Times New Roman"/>
          <w:b/>
          <w:bCs w:val="0"/>
          <w:sz w:val="24"/>
          <w:szCs w:val="24"/>
        </w:rPr>
        <w:t>Human Rights</w:t>
      </w:r>
      <w:r>
        <w:rPr>
          <w:rFonts w:hint="default" w:ascii="Times New Roman" w:hAnsi="Times New Roman" w:cs="Times New Roman"/>
          <w:b/>
          <w:bCs w:val="0"/>
          <w:sz w:val="24"/>
          <w:szCs w:val="24"/>
          <w:lang w:val="en-US" w:eastAsia="zh-CN"/>
        </w:rPr>
        <w:t xml:space="preserve"> And </w:t>
      </w:r>
      <w:r>
        <w:rPr>
          <w:rFonts w:hint="default" w:ascii="Times New Roman" w:hAnsi="Times New Roman" w:eastAsia="黑体" w:cs="Times New Roman"/>
          <w:b/>
          <w:bCs w:val="0"/>
          <w:color w:val="auto"/>
          <w:kern w:val="2"/>
          <w:sz w:val="24"/>
          <w:szCs w:val="24"/>
          <w:lang w:val="en-US" w:eastAsia="zh-CN" w:bidi="ar"/>
        </w:rPr>
        <w:t>Risk mitigation measures</w:t>
      </w:r>
      <w:bookmarkEnd w:id="34"/>
      <w:bookmarkEnd w:id="35"/>
    </w:p>
    <w:bookmarkEnd w:id="36"/>
    <w:bookmarkEnd w:id="37"/>
    <w:p>
      <w:pPr>
        <w:pStyle w:val="45"/>
        <w:spacing w:before="157" w:after="157"/>
        <w:ind w:firstLine="482" w:firstLineChars="200"/>
        <w:rPr>
          <w:rFonts w:hint="default" w:ascii="Times New Roman" w:hAnsi="Times New Roman" w:cs="Times New Roman"/>
          <w:sz w:val="24"/>
          <w:szCs w:val="24"/>
        </w:rPr>
      </w:pPr>
      <w:bookmarkStart w:id="38" w:name="_Toc14091"/>
      <w:bookmarkStart w:id="39" w:name="_Toc5950"/>
      <w:bookmarkStart w:id="40" w:name="_Toc27035"/>
      <w:bookmarkStart w:id="41" w:name="_Toc13372"/>
      <w:bookmarkStart w:id="42" w:name="_Toc3103"/>
      <w:bookmarkStart w:id="43" w:name="_Toc3223"/>
      <w:bookmarkStart w:id="44" w:name="_Toc21830"/>
      <w:bookmarkStart w:id="45" w:name="_Toc24173"/>
      <w:bookmarkStart w:id="46" w:name="_Toc21269"/>
      <w:r>
        <w:rPr>
          <w:rFonts w:hint="eastAsia" w:ascii="Times New Roman" w:hAnsi="Times New Roman" w:cs="Times New Roman"/>
          <w:b/>
          <w:bCs w:val="0"/>
          <w:sz w:val="24"/>
          <w:szCs w:val="24"/>
          <w:lang w:val="en-US" w:eastAsia="zh-CN"/>
        </w:rPr>
        <w:t xml:space="preserve">i  </w:t>
      </w:r>
      <w:r>
        <w:rPr>
          <w:rFonts w:hint="default" w:ascii="Times New Roman" w:hAnsi="Times New Roman" w:cs="Times New Roman"/>
          <w:b/>
          <w:bCs w:val="0"/>
          <w:sz w:val="24"/>
          <w:szCs w:val="24"/>
        </w:rPr>
        <w:t>Regarding serious abuses associated with the extraction, transport or trade of minerals</w:t>
      </w:r>
      <w:bookmarkEnd w:id="38"/>
      <w:bookmarkEnd w:id="39"/>
      <w:bookmarkEnd w:id="40"/>
      <w:bookmarkEnd w:id="41"/>
      <w:bookmarkEnd w:id="42"/>
      <w:bookmarkEnd w:id="43"/>
      <w:bookmarkEnd w:id="44"/>
      <w:bookmarkEnd w:id="45"/>
      <w:bookmarkEnd w:id="46"/>
    </w:p>
    <w:p>
      <w:pPr>
        <w:ind w:firstLine="480" w:firstLineChars="200"/>
        <w:rPr>
          <w:rFonts w:hint="default" w:ascii="Times New Roman" w:hAnsi="Times New Roman"/>
          <w:sz w:val="24"/>
          <w:szCs w:val="24"/>
        </w:rPr>
      </w:pPr>
      <w:r>
        <w:rPr>
          <w:rFonts w:hint="default" w:ascii="Times New Roman" w:hAnsi="Times New Roman"/>
          <w:sz w:val="24"/>
          <w:szCs w:val="24"/>
        </w:rPr>
        <w:t xml:space="preserve">While sourcing from, or operating in, conflict-affected and high-risk areas, we will neither tolerate nor by any means profit from, contribute to, assist with or facilitate the commission by any party of: </w:t>
      </w:r>
    </w:p>
    <w:p>
      <w:pPr>
        <w:ind w:firstLine="480" w:firstLineChars="200"/>
        <w:rPr>
          <w:rFonts w:hint="default" w:ascii="Times New Roman" w:hAnsi="Times New Roman"/>
          <w:sz w:val="24"/>
          <w:szCs w:val="24"/>
        </w:rPr>
      </w:pPr>
      <w:r>
        <w:rPr>
          <w:rFonts w:hint="default" w:ascii="Times New Roman" w:hAnsi="Times New Roman"/>
          <w:sz w:val="24"/>
          <w:szCs w:val="24"/>
        </w:rPr>
        <w:t xml:space="preserve">a.any forms of torture, cruel, inhuman and degrading treatment; </w:t>
      </w:r>
    </w:p>
    <w:p>
      <w:pPr>
        <w:ind w:firstLine="480" w:firstLineChars="200"/>
        <w:rPr>
          <w:rFonts w:hint="default" w:ascii="Times New Roman" w:hAnsi="Times New Roman"/>
          <w:sz w:val="24"/>
          <w:szCs w:val="24"/>
        </w:rPr>
      </w:pPr>
      <w:r>
        <w:rPr>
          <w:rFonts w:hint="default" w:ascii="Times New Roman" w:hAnsi="Times New Roman"/>
          <w:sz w:val="24"/>
          <w:szCs w:val="24"/>
        </w:rPr>
        <w:t>b.any forms of forced or compulsory labour, which means work or service which is exacted</w:t>
      </w:r>
      <w:r>
        <w:rPr>
          <w:rFonts w:hint="eastAsia" w:ascii="Times New Roman" w:hAnsi="Times New Roman"/>
          <w:sz w:val="24"/>
          <w:szCs w:val="24"/>
          <w:lang w:val="en-US" w:eastAsia="zh-CN"/>
        </w:rPr>
        <w:t xml:space="preserve"> </w:t>
      </w:r>
      <w:r>
        <w:rPr>
          <w:rFonts w:hint="default" w:ascii="Times New Roman" w:hAnsi="Times New Roman"/>
          <w:sz w:val="24"/>
          <w:szCs w:val="24"/>
        </w:rPr>
        <w:t>from any person under the menace of penalty and for which said person has not offered</w:t>
      </w:r>
      <w:r>
        <w:rPr>
          <w:rFonts w:hint="eastAsia" w:ascii="Times New Roman" w:hAnsi="Times New Roman"/>
          <w:sz w:val="24"/>
          <w:szCs w:val="24"/>
          <w:lang w:val="en-US" w:eastAsia="zh-CN"/>
        </w:rPr>
        <w:t xml:space="preserve"> </w:t>
      </w:r>
      <w:r>
        <w:rPr>
          <w:rFonts w:hint="default" w:ascii="Times New Roman" w:hAnsi="Times New Roman"/>
          <w:sz w:val="24"/>
          <w:szCs w:val="24"/>
        </w:rPr>
        <w:t xml:space="preserve">himself voluntarily; </w:t>
      </w:r>
    </w:p>
    <w:p>
      <w:pPr>
        <w:ind w:firstLine="480" w:firstLineChars="200"/>
        <w:rPr>
          <w:rFonts w:hint="default" w:ascii="Times New Roman" w:hAnsi="Times New Roman"/>
          <w:sz w:val="24"/>
          <w:szCs w:val="24"/>
        </w:rPr>
      </w:pPr>
      <w:r>
        <w:rPr>
          <w:rFonts w:hint="default" w:ascii="Times New Roman" w:hAnsi="Times New Roman"/>
          <w:sz w:val="24"/>
          <w:szCs w:val="24"/>
        </w:rPr>
        <w:t xml:space="preserve">c.the worst forms of child labour; </w:t>
      </w:r>
    </w:p>
    <w:p>
      <w:pPr>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sz w:val="24"/>
          <w:szCs w:val="24"/>
        </w:rPr>
        <w:t>d.other gross human rights violations and abuses such as widespread sexual violence;</w:t>
      </w:r>
      <w:r>
        <w:rPr>
          <w:rFonts w:hint="eastAsia" w:ascii="Times New Roman" w:hAnsi="Times New Roman"/>
          <w:sz w:val="24"/>
          <w:szCs w:val="24"/>
          <w:lang w:val="en-US" w:eastAsia="zh-CN"/>
        </w:rPr>
        <w:t xml:space="preserve"> </w:t>
      </w:r>
      <w:r>
        <w:rPr>
          <w:rFonts w:hint="default" w:ascii="Times New Roman" w:hAnsi="Times New Roman"/>
          <w:sz w:val="24"/>
          <w:szCs w:val="24"/>
        </w:rPr>
        <w:t>war crimes or other serious violations of international humanitarian law, crimes  against humanity or genocide</w:t>
      </w:r>
      <w:r>
        <w:rPr>
          <w:rFonts w:hint="eastAsia" w:ascii="Times New Roman" w:hAnsi="Times New Roman"/>
          <w:sz w:val="24"/>
          <w:szCs w:val="24"/>
          <w:lang w:val="en-US" w:eastAsia="zh-CN"/>
        </w:rPr>
        <w:t>.</w:t>
      </w:r>
    </w:p>
    <w:p>
      <w:pPr>
        <w:pStyle w:val="45"/>
        <w:spacing w:before="157" w:after="157"/>
        <w:ind w:firstLine="482" w:firstLineChars="200"/>
        <w:rPr>
          <w:rFonts w:hint="default" w:ascii="Times New Roman" w:hAnsi="Times New Roman" w:eastAsia="黑体" w:cs="Times New Roman"/>
          <w:sz w:val="24"/>
          <w:szCs w:val="24"/>
          <w:lang w:val="en-US" w:eastAsia="zh-CN"/>
        </w:rPr>
      </w:pPr>
      <w:r>
        <w:rPr>
          <w:rFonts w:hint="eastAsia" w:ascii="Times New Roman" w:hAnsi="Times New Roman" w:cs="Times New Roman"/>
          <w:b/>
          <w:bCs w:val="0"/>
          <w:sz w:val="24"/>
          <w:szCs w:val="24"/>
          <w:lang w:val="en-US" w:eastAsia="zh-CN"/>
        </w:rPr>
        <w:t xml:space="preserve">ii  </w:t>
      </w:r>
      <w:r>
        <w:rPr>
          <w:rFonts w:hint="default" w:ascii="Times New Roman" w:hAnsi="Times New Roman" w:cs="Times New Roman"/>
          <w:b/>
          <w:bCs w:val="0"/>
          <w:sz w:val="24"/>
          <w:szCs w:val="24"/>
          <w:lang w:val="en-US" w:eastAsia="zh-CN"/>
        </w:rPr>
        <w:t>Regarding child labour:</w:t>
      </w:r>
    </w:p>
    <w:p>
      <w:pPr>
        <w:spacing w:before="157" w:after="157"/>
        <w:ind w:firstLine="480" w:firstLineChars="200"/>
        <w:rPr>
          <w:rFonts w:hint="default" w:ascii="Times New Roman" w:hAnsi="Times New Roman" w:eastAsia="宋体" w:cs="Times New Roman"/>
          <w:sz w:val="24"/>
          <w:szCs w:val="24"/>
        </w:rPr>
      </w:pPr>
      <w:r>
        <w:rPr>
          <w:rFonts w:hint="default" w:ascii="Times New Roman" w:hAnsi="Times New Roman"/>
          <w:sz w:val="24"/>
          <w:szCs w:val="24"/>
        </w:rPr>
        <w:t>While sourcing from or operating in conflict-affected and high-risk areas, we will not employ, profit from, assist with, or facilitate, or be linked to, any party employing, profiting from, assisting with, or facilitating the employment of any kind of children under the minimum working age which is legally prescribed by the host country laws and regulations. If there is no relevant host country law or regulation, the minimum working age shall be 16 years.</w:t>
      </w:r>
    </w:p>
    <w:p>
      <w:pPr>
        <w:pStyle w:val="45"/>
        <w:spacing w:before="157" w:after="157"/>
        <w:ind w:firstLine="482" w:firstLineChars="200"/>
        <w:rPr>
          <w:rFonts w:hint="default" w:ascii="Times New Roman" w:hAnsi="Times New Roman" w:cs="Times New Roman"/>
          <w:sz w:val="24"/>
          <w:szCs w:val="24"/>
        </w:rPr>
      </w:pPr>
      <w:bookmarkStart w:id="47" w:name="_Toc1565"/>
      <w:r>
        <w:rPr>
          <w:rFonts w:hint="default" w:ascii="Times New Roman" w:hAnsi="Times New Roman" w:cs="Times New Roman"/>
          <w:b/>
          <w:bCs w:val="0"/>
          <w:sz w:val="24"/>
          <w:szCs w:val="24"/>
          <w:lang w:val="en-US" w:eastAsia="zh-CN"/>
        </w:rPr>
        <w:t>Risk mitigation measures</w:t>
      </w:r>
      <w:bookmarkEnd w:id="47"/>
    </w:p>
    <w:p>
      <w:pPr>
        <w:ind w:firstLine="480" w:firstLineChars="200"/>
        <w:rPr>
          <w:rFonts w:hint="default" w:ascii="Times New Roman" w:hAnsi="Times New Roman"/>
          <w:sz w:val="24"/>
          <w:szCs w:val="24"/>
        </w:rPr>
      </w:pPr>
      <w:r>
        <w:rPr>
          <w:rFonts w:hint="default" w:ascii="Times New Roman" w:hAnsi="Times New Roman"/>
          <w:sz w:val="24"/>
          <w:szCs w:val="24"/>
        </w:rPr>
        <w:t xml:space="preserve">We will immediately suspend or discontinue engagement with upstream suppliers where we identify a reasonable risk that they are sourcing from, or linked to, any party committing serious abuses as defined above. </w:t>
      </w:r>
    </w:p>
    <w:p>
      <w:pPr>
        <w:pStyle w:val="45"/>
        <w:spacing w:before="157" w:after="157"/>
        <w:rPr>
          <w:rFonts w:hint="default" w:ascii="Times New Roman" w:hAnsi="Times New Roman" w:cs="Times New Roman"/>
          <w:sz w:val="24"/>
          <w:szCs w:val="24"/>
        </w:rPr>
      </w:pPr>
      <w:r>
        <w:rPr>
          <w:rFonts w:hint="eastAsia" w:ascii="Times New Roman" w:hAnsi="Times New Roman" w:cs="Times New Roman"/>
          <w:b/>
          <w:bCs w:val="0"/>
          <w:sz w:val="24"/>
          <w:szCs w:val="24"/>
          <w:lang w:val="en-US" w:eastAsia="zh-CN"/>
        </w:rPr>
        <w:t xml:space="preserve">II  </w:t>
      </w:r>
      <w:r>
        <w:rPr>
          <w:rFonts w:hint="default" w:ascii="Times New Roman" w:hAnsi="Times New Roman" w:cs="Times New Roman"/>
          <w:b/>
          <w:bCs w:val="0"/>
          <w:sz w:val="24"/>
          <w:szCs w:val="24"/>
        </w:rPr>
        <w:t>Conflicts</w:t>
      </w:r>
      <w:r>
        <w:rPr>
          <w:rFonts w:hint="default" w:ascii="Times New Roman" w:hAnsi="Times New Roman" w:cs="Times New Roman"/>
          <w:b/>
          <w:bCs w:val="0"/>
          <w:sz w:val="24"/>
          <w:szCs w:val="24"/>
          <w:lang w:val="en-US" w:eastAsia="zh-CN"/>
        </w:rPr>
        <w:t xml:space="preserve"> And </w:t>
      </w:r>
      <w:r>
        <w:rPr>
          <w:rFonts w:hint="default" w:ascii="Times New Roman" w:hAnsi="Times New Roman" w:eastAsia="黑体" w:cs="Times New Roman"/>
          <w:b/>
          <w:bCs w:val="0"/>
          <w:kern w:val="2"/>
          <w:sz w:val="24"/>
          <w:szCs w:val="24"/>
          <w:lang w:val="en-US" w:eastAsia="zh-CN" w:bidi="ar-SA"/>
        </w:rPr>
        <w:t>Risk mitigation measures</w:t>
      </w:r>
      <w:r>
        <w:rPr>
          <w:rFonts w:hint="default" w:ascii="Times New Roman" w:hAnsi="Times New Roman" w:cs="Times New Roman"/>
          <w:b/>
          <w:bCs w:val="0"/>
          <w:kern w:val="2"/>
          <w:sz w:val="24"/>
          <w:szCs w:val="24"/>
          <w:lang w:val="en-US" w:eastAsia="zh-CN" w:bidi="ar-SA"/>
        </w:rPr>
        <w:t xml:space="preserve"> </w:t>
      </w:r>
    </w:p>
    <w:p>
      <w:pPr>
        <w:pStyle w:val="45"/>
        <w:spacing w:before="157" w:after="157"/>
        <w:ind w:firstLine="482" w:firstLineChars="200"/>
        <w:rPr>
          <w:rFonts w:hint="default" w:ascii="Times New Roman" w:hAnsi="Times New Roman" w:eastAsia="黑体" w:cs="Times New Roman"/>
          <w:sz w:val="24"/>
          <w:szCs w:val="24"/>
          <w:lang w:val="en-US" w:eastAsia="zh-CN"/>
        </w:rPr>
      </w:pPr>
      <w:r>
        <w:rPr>
          <w:rFonts w:hint="eastAsia" w:ascii="Times New Roman" w:hAnsi="Times New Roman" w:cs="Times New Roman"/>
          <w:b/>
          <w:bCs w:val="0"/>
          <w:sz w:val="24"/>
          <w:szCs w:val="24"/>
          <w:lang w:val="en-US" w:eastAsia="zh-CN"/>
        </w:rPr>
        <w:t xml:space="preserve">i  </w:t>
      </w:r>
      <w:r>
        <w:rPr>
          <w:rFonts w:hint="default" w:ascii="Times New Roman" w:hAnsi="Times New Roman" w:cs="Times New Roman"/>
          <w:b/>
          <w:bCs w:val="0"/>
          <w:sz w:val="24"/>
          <w:szCs w:val="24"/>
        </w:rPr>
        <w:t>Regarding direct or indirect support to non-state armed groups</w:t>
      </w:r>
    </w:p>
    <w:p>
      <w:pPr>
        <w:ind w:firstLine="480" w:firstLineChars="200"/>
        <w:rPr>
          <w:rFonts w:hint="default" w:ascii="Times New Roman" w:hAnsi="Times New Roman"/>
          <w:sz w:val="24"/>
          <w:szCs w:val="24"/>
        </w:rPr>
      </w:pPr>
      <w:r>
        <w:rPr>
          <w:rFonts w:hint="default" w:ascii="Times New Roman" w:hAnsi="Times New Roman"/>
          <w:sz w:val="24"/>
          <w:szCs w:val="24"/>
        </w:rPr>
        <w:t xml:space="preserve">We will not tolerate any direct or indirect support to non-state armed groups through the extraction, transport, trade, handling or export of minerals. “Direct or indirect support” to </w:t>
      </w:r>
    </w:p>
    <w:p>
      <w:pPr>
        <w:rPr>
          <w:rFonts w:hint="default" w:ascii="Times New Roman" w:hAnsi="Times New Roman"/>
          <w:sz w:val="24"/>
          <w:szCs w:val="24"/>
        </w:rPr>
      </w:pPr>
      <w:r>
        <w:rPr>
          <w:rFonts w:hint="default" w:ascii="Times New Roman" w:hAnsi="Times New Roman"/>
          <w:sz w:val="24"/>
          <w:szCs w:val="24"/>
        </w:rPr>
        <w:t xml:space="preserve">non-state armed groups through the extraction, transport, trade, handling or export of minerals includes, but is not limited to, procuring minerals from, making payments to or otherwise </w:t>
      </w:r>
    </w:p>
    <w:p>
      <w:pPr>
        <w:rPr>
          <w:rFonts w:hint="default" w:ascii="Times New Roman" w:hAnsi="Times New Roman"/>
          <w:sz w:val="24"/>
          <w:szCs w:val="24"/>
        </w:rPr>
      </w:pPr>
      <w:r>
        <w:rPr>
          <w:rFonts w:hint="default" w:ascii="Times New Roman" w:hAnsi="Times New Roman"/>
          <w:sz w:val="24"/>
          <w:szCs w:val="24"/>
        </w:rPr>
        <w:t xml:space="preserve">providing logistical assistance or equipment to, non-state armed groups or their affiliates who: </w:t>
      </w:r>
    </w:p>
    <w:p>
      <w:pPr>
        <w:numPr>
          <w:ilvl w:val="0"/>
          <w:numId w:val="2"/>
        </w:numPr>
        <w:ind w:firstLine="480" w:firstLineChars="200"/>
        <w:rPr>
          <w:rFonts w:hint="default" w:ascii="Times New Roman" w:hAnsi="Times New Roman"/>
          <w:sz w:val="24"/>
          <w:szCs w:val="24"/>
        </w:rPr>
      </w:pPr>
      <w:r>
        <w:rPr>
          <w:rFonts w:hint="eastAsia" w:ascii="Times New Roman" w:hAnsi="Times New Roman"/>
          <w:sz w:val="24"/>
          <w:szCs w:val="24"/>
          <w:lang w:val="en-US" w:eastAsia="zh-CN"/>
        </w:rPr>
        <w:t>i</w:t>
      </w:r>
      <w:r>
        <w:rPr>
          <w:rFonts w:hint="eastAsia" w:ascii="Times New Roman" w:hAnsi="Times New Roman"/>
          <w:sz w:val="24"/>
          <w:szCs w:val="24"/>
          <w:lang w:eastAsia="zh-CN"/>
        </w:rPr>
        <w:t>llegal</w:t>
      </w:r>
      <w:r>
        <w:rPr>
          <w:rFonts w:hint="default" w:ascii="Times New Roman" w:hAnsi="Times New Roman"/>
          <w:sz w:val="24"/>
          <w:szCs w:val="24"/>
        </w:rPr>
        <w:t xml:space="preserve"> control mine sites or otherwise control transportation routes, points where minerals are traded and upstream actors in the supply chain; and/or </w:t>
      </w:r>
    </w:p>
    <w:p>
      <w:pPr>
        <w:numPr>
          <w:ilvl w:val="0"/>
          <w:numId w:val="2"/>
        </w:numPr>
        <w:ind w:left="0" w:leftChars="0" w:firstLine="480" w:firstLineChars="200"/>
        <w:rPr>
          <w:rFonts w:hint="default" w:ascii="Times New Roman" w:hAnsi="Times New Roman"/>
          <w:sz w:val="24"/>
          <w:szCs w:val="24"/>
        </w:rPr>
      </w:pPr>
      <w:r>
        <w:rPr>
          <w:rFonts w:hint="default" w:ascii="Times New Roman" w:hAnsi="Times New Roman"/>
          <w:sz w:val="24"/>
          <w:szCs w:val="24"/>
        </w:rPr>
        <w:t xml:space="preserve">illegally tax or extort money or minerals at points of access to mine sites, along transportation routes or at points where mineral are traded; and/or </w:t>
      </w:r>
    </w:p>
    <w:p>
      <w:pPr>
        <w:numPr>
          <w:ilvl w:val="0"/>
          <w:numId w:val="2"/>
        </w:numPr>
        <w:ind w:left="0" w:leftChars="0" w:firstLine="480" w:firstLineChars="200"/>
        <w:rPr>
          <w:rFonts w:hint="default" w:ascii="Times New Roman" w:hAnsi="Times New Roman" w:cs="Times New Roman"/>
          <w:sz w:val="24"/>
          <w:szCs w:val="24"/>
        </w:rPr>
      </w:pPr>
      <w:r>
        <w:rPr>
          <w:rFonts w:hint="default" w:ascii="Times New Roman" w:hAnsi="Times New Roman"/>
          <w:sz w:val="24"/>
          <w:szCs w:val="24"/>
        </w:rPr>
        <w:t>illegally tax or extort intermediaries, export companies or internal traders.</w:t>
      </w:r>
    </w:p>
    <w:p>
      <w:pPr>
        <w:pStyle w:val="45"/>
        <w:spacing w:before="157" w:after="157"/>
        <w:ind w:firstLine="482" w:firstLineChars="200"/>
        <w:rPr>
          <w:rFonts w:hint="default" w:ascii="Times New Roman" w:hAnsi="Times New Roman" w:cs="Times New Roman"/>
          <w:sz w:val="24"/>
          <w:szCs w:val="24"/>
        </w:rPr>
      </w:pPr>
      <w:r>
        <w:rPr>
          <w:rFonts w:hint="default" w:ascii="Times New Roman" w:hAnsi="Times New Roman" w:eastAsia="宋体" w:cs="Times New Roman"/>
          <w:b/>
          <w:bCs w:val="0"/>
          <w:color w:val="000000"/>
          <w:kern w:val="0"/>
          <w:sz w:val="24"/>
          <w:szCs w:val="24"/>
          <w:lang w:val="en-US" w:eastAsia="zh-CN" w:bidi="ar"/>
        </w:rPr>
        <w:t>Risk mitigation measures</w:t>
      </w:r>
    </w:p>
    <w:p>
      <w:pPr>
        <w:ind w:firstLine="480" w:firstLineChars="200"/>
        <w:rPr>
          <w:rFonts w:hint="default" w:ascii="Times New Roman" w:hAnsi="Times New Roman"/>
          <w:sz w:val="24"/>
          <w:szCs w:val="24"/>
        </w:rPr>
      </w:pPr>
      <w:r>
        <w:rPr>
          <w:rFonts w:hint="default" w:ascii="Times New Roman" w:hAnsi="Times New Roman"/>
          <w:sz w:val="24"/>
          <w:szCs w:val="24"/>
        </w:rPr>
        <w:t xml:space="preserve">We will immediately suspend or discontinue engagement with upstream suppliers where we identify a reasonable risk that they are sourcing from, or linked to, any party providing direct or indirect support to non-state armed groups. </w:t>
      </w:r>
    </w:p>
    <w:p>
      <w:pPr>
        <w:pStyle w:val="45"/>
        <w:spacing w:before="157" w:after="157"/>
        <w:ind w:firstLine="482" w:firstLineChars="200"/>
        <w:rPr>
          <w:rFonts w:hint="default" w:ascii="Times New Roman" w:hAnsi="Times New Roman" w:eastAsia="黑体" w:cs="Times New Roman"/>
          <w:sz w:val="24"/>
          <w:szCs w:val="24"/>
          <w:lang w:val="en-US" w:eastAsia="zh-CN"/>
        </w:rPr>
      </w:pPr>
      <w:r>
        <w:rPr>
          <w:rFonts w:hint="eastAsia" w:ascii="Times New Roman" w:hAnsi="Times New Roman" w:cs="Times New Roman"/>
          <w:b/>
          <w:bCs w:val="0"/>
          <w:sz w:val="24"/>
          <w:szCs w:val="24"/>
          <w:lang w:val="en-US" w:eastAsia="zh-CN"/>
        </w:rPr>
        <w:t xml:space="preserve">ii  </w:t>
      </w:r>
      <w:r>
        <w:rPr>
          <w:rFonts w:hint="default" w:ascii="Times New Roman" w:hAnsi="Times New Roman" w:cs="Times New Roman"/>
          <w:b/>
          <w:bCs w:val="0"/>
          <w:sz w:val="24"/>
          <w:szCs w:val="24"/>
        </w:rPr>
        <w:t xml:space="preserve">Regarding public or private security forces: </w:t>
      </w:r>
    </w:p>
    <w:p>
      <w:pPr>
        <w:spacing w:before="157" w:after="157"/>
        <w:ind w:firstLine="480" w:firstLineChars="200"/>
        <w:rPr>
          <w:rFonts w:hint="default" w:ascii="Times New Roman" w:hAnsi="Times New Roman"/>
          <w:sz w:val="24"/>
          <w:szCs w:val="24"/>
        </w:rPr>
      </w:pPr>
      <w:r>
        <w:rPr>
          <w:rFonts w:hint="default" w:ascii="Times New Roman" w:hAnsi="Times New Roman"/>
          <w:sz w:val="24"/>
          <w:szCs w:val="24"/>
        </w:rPr>
        <w:t>We disagree to provide direct or indirect support to public or private security forces who illegally control mine sites, transportation routes and upstream actors in the supply chain; illegally tax or extort money or minerals at point of access to mine sites, along transportation routes or at points where minerals are traded; or illegally tax or extort intermediaries, export companies or international traders.</w:t>
      </w:r>
    </w:p>
    <w:p>
      <w:pPr>
        <w:spacing w:before="157" w:after="157"/>
        <w:ind w:firstLine="480" w:firstLineChars="200"/>
        <w:rPr>
          <w:rFonts w:hint="default" w:ascii="Times New Roman" w:hAnsi="Times New Roman"/>
          <w:sz w:val="24"/>
          <w:szCs w:val="24"/>
        </w:rPr>
      </w:pPr>
      <w:r>
        <w:rPr>
          <w:rFonts w:hint="default" w:ascii="Times New Roman" w:hAnsi="Times New Roman"/>
          <w:sz w:val="24"/>
          <w:szCs w:val="24"/>
        </w:rPr>
        <w:t xml:space="preserve">We recognise that the role of public or private security forces at the mine sites and/or surrounding areas and/or along transportation routes should be solely to maintain the rule of law, including safeguarding human rights, providing security to mine workers, equipment and facilities, and protecting the mine site or transportation routes from interference with legitimate extraction and trade. </w:t>
      </w:r>
    </w:p>
    <w:p>
      <w:pPr>
        <w:spacing w:before="157" w:after="157"/>
        <w:ind w:firstLine="480" w:firstLineChars="200"/>
        <w:rPr>
          <w:rFonts w:hint="default" w:ascii="Times New Roman" w:hAnsi="Times New Roman"/>
          <w:sz w:val="24"/>
          <w:szCs w:val="24"/>
        </w:rPr>
      </w:pPr>
      <w:r>
        <w:rPr>
          <w:rFonts w:hint="default" w:ascii="Times New Roman" w:hAnsi="Times New Roman"/>
          <w:sz w:val="24"/>
          <w:szCs w:val="24"/>
        </w:rPr>
        <w:t xml:space="preserve">Where we or any company in our supply chain contract public or private security forces, we commit to or we will require that such security forces will be engaged in accordance with the international widely recognized standards. In particular, we will support or take steps, to adopt screening policies to ensure that individuals or units of security forces that are known to have been responsible for gross human rights abuses will not be hired. </w:t>
      </w:r>
    </w:p>
    <w:p>
      <w:pPr>
        <w:spacing w:before="157" w:after="157"/>
        <w:ind w:firstLine="480" w:firstLineChars="200"/>
        <w:rPr>
          <w:rFonts w:hint="default" w:ascii="Times New Roman" w:hAnsi="Times New Roman"/>
          <w:sz w:val="24"/>
          <w:szCs w:val="24"/>
        </w:rPr>
      </w:pPr>
      <w:r>
        <w:rPr>
          <w:rFonts w:hint="default" w:ascii="Times New Roman" w:hAnsi="Times New Roman"/>
          <w:sz w:val="24"/>
          <w:szCs w:val="24"/>
        </w:rPr>
        <w:t>We will support efforts, or take steps, to engage with central or local authorities,</w:t>
      </w:r>
      <w:r>
        <w:rPr>
          <w:rFonts w:hint="eastAsia" w:ascii="Times New Roman" w:hAnsi="Times New Roman"/>
          <w:sz w:val="24"/>
          <w:szCs w:val="24"/>
          <w:lang w:val="en-US" w:eastAsia="zh-CN"/>
        </w:rPr>
        <w:t xml:space="preserve"> </w:t>
      </w:r>
      <w:r>
        <w:rPr>
          <w:rFonts w:hint="default" w:ascii="Times New Roman" w:hAnsi="Times New Roman"/>
          <w:sz w:val="24"/>
          <w:szCs w:val="24"/>
        </w:rPr>
        <w:t xml:space="preserve">international organisations and civil society organisations to contribute to workable solutions on how transparency, proportionality and accountability in payments made to public security forces for the provision of security could be improved. </w:t>
      </w:r>
    </w:p>
    <w:p>
      <w:pPr>
        <w:spacing w:before="157" w:after="157"/>
        <w:ind w:firstLine="480" w:firstLineChars="200"/>
        <w:rPr>
          <w:rFonts w:hint="default" w:ascii="Times New Roman" w:hAnsi="Times New Roman"/>
          <w:sz w:val="24"/>
          <w:szCs w:val="24"/>
        </w:rPr>
      </w:pPr>
      <w:r>
        <w:rPr>
          <w:rFonts w:hint="default" w:ascii="Times New Roman" w:hAnsi="Times New Roman"/>
          <w:sz w:val="24"/>
          <w:szCs w:val="24"/>
        </w:rPr>
        <w:t>We will support efforts, or take steps, to engage with local authorities, international organisations and civil society organisations to avoid or minimise the exposure of vulnerable groups, in particular, artisanal miners where minerals in the supply chain are extracted through artisanal or small-scale mining, to adverse impacts associated with the presence of security forces, public or private, on mine sites.</w:t>
      </w:r>
    </w:p>
    <w:p>
      <w:pPr>
        <w:pStyle w:val="45"/>
        <w:spacing w:before="157" w:after="157"/>
        <w:ind w:firstLine="482" w:firstLineChars="200"/>
        <w:rPr>
          <w:rFonts w:hint="default" w:ascii="Times New Roman" w:hAnsi="Times New Roman" w:cs="Times New Roman"/>
          <w:sz w:val="24"/>
          <w:szCs w:val="24"/>
        </w:rPr>
      </w:pPr>
      <w:r>
        <w:rPr>
          <w:rFonts w:hint="default" w:ascii="Times New Roman" w:hAnsi="Times New Roman" w:cs="Times New Roman"/>
          <w:b/>
          <w:bCs w:val="0"/>
          <w:sz w:val="24"/>
          <w:szCs w:val="24"/>
        </w:rPr>
        <w:t>Risk mitigation measures:</w:t>
      </w:r>
    </w:p>
    <w:p>
      <w:pPr>
        <w:ind w:firstLine="480" w:firstLineChars="200"/>
        <w:rPr>
          <w:rFonts w:hint="default" w:ascii="Times New Roman" w:hAnsi="Times New Roman"/>
          <w:sz w:val="24"/>
          <w:szCs w:val="24"/>
        </w:rPr>
      </w:pPr>
      <w:r>
        <w:rPr>
          <w:rFonts w:hint="default" w:ascii="Times New Roman" w:hAnsi="Times New Roman"/>
          <w:sz w:val="24"/>
          <w:szCs w:val="24"/>
        </w:rPr>
        <w:t xml:space="preserve">In accordance with the specific position of the company in the supply chain, we will </w:t>
      </w:r>
    </w:p>
    <w:p>
      <w:pPr>
        <w:ind w:firstLine="480" w:firstLineChars="200"/>
        <w:rPr>
          <w:rFonts w:hint="default" w:ascii="Times New Roman" w:hAnsi="Times New Roman"/>
          <w:sz w:val="24"/>
          <w:szCs w:val="24"/>
        </w:rPr>
      </w:pPr>
      <w:r>
        <w:rPr>
          <w:rFonts w:hint="default" w:ascii="Times New Roman" w:hAnsi="Times New Roman"/>
          <w:sz w:val="24"/>
          <w:szCs w:val="24"/>
        </w:rPr>
        <w:t xml:space="preserve">immediately devise, adopt and implement a risk management plan with upstream suppliers </w:t>
      </w:r>
    </w:p>
    <w:p>
      <w:pPr>
        <w:ind w:firstLine="480" w:firstLineChars="200"/>
        <w:rPr>
          <w:rFonts w:hint="default" w:ascii="Times New Roman" w:hAnsi="Times New Roman"/>
          <w:sz w:val="24"/>
          <w:szCs w:val="24"/>
        </w:rPr>
      </w:pPr>
      <w:r>
        <w:rPr>
          <w:rFonts w:hint="default" w:ascii="Times New Roman" w:hAnsi="Times New Roman"/>
          <w:sz w:val="24"/>
          <w:szCs w:val="24"/>
        </w:rPr>
        <w:t xml:space="preserve">and other stakeholders to prevent or mitigate the risk of direct or indirect support to public or </w:t>
      </w:r>
    </w:p>
    <w:p>
      <w:pPr>
        <w:ind w:firstLine="480" w:firstLineChars="200"/>
        <w:rPr>
          <w:rFonts w:hint="default" w:ascii="Times New Roman" w:hAnsi="Times New Roman"/>
          <w:sz w:val="24"/>
          <w:szCs w:val="24"/>
        </w:rPr>
      </w:pPr>
      <w:r>
        <w:rPr>
          <w:rFonts w:hint="default" w:ascii="Times New Roman" w:hAnsi="Times New Roman"/>
          <w:sz w:val="24"/>
          <w:szCs w:val="24"/>
        </w:rPr>
        <w:t xml:space="preserve">private security forces, where we identify that such a reasonable risk exists. In such cases, we </w:t>
      </w:r>
    </w:p>
    <w:p>
      <w:pPr>
        <w:ind w:firstLine="480" w:firstLineChars="200"/>
        <w:rPr>
          <w:rFonts w:hint="default" w:ascii="Times New Roman" w:hAnsi="Times New Roman"/>
          <w:sz w:val="24"/>
          <w:szCs w:val="24"/>
        </w:rPr>
      </w:pPr>
      <w:r>
        <w:rPr>
          <w:rFonts w:hint="default" w:ascii="Times New Roman" w:hAnsi="Times New Roman"/>
          <w:sz w:val="24"/>
          <w:szCs w:val="24"/>
        </w:rPr>
        <w:t xml:space="preserve">will suspend or discontinue engagement with upstream suppliers after failed attempts at </w:t>
      </w:r>
    </w:p>
    <w:p>
      <w:pPr>
        <w:ind w:firstLine="480" w:firstLineChars="200"/>
        <w:rPr>
          <w:rFonts w:hint="default" w:ascii="Times New Roman" w:hAnsi="Times New Roman"/>
          <w:sz w:val="24"/>
          <w:szCs w:val="24"/>
        </w:rPr>
      </w:pPr>
      <w:r>
        <w:rPr>
          <w:rFonts w:hint="default" w:ascii="Times New Roman" w:hAnsi="Times New Roman"/>
          <w:sz w:val="24"/>
          <w:szCs w:val="24"/>
        </w:rPr>
        <w:t>mitigation within six months from the adoption of the risk management plan. 。</w:t>
      </w:r>
    </w:p>
    <w:p>
      <w:pPr>
        <w:pStyle w:val="45"/>
        <w:spacing w:before="157" w:after="157"/>
        <w:rPr>
          <w:rFonts w:hint="default" w:ascii="Times New Roman" w:hAnsi="Times New Roman" w:cs="Times New Roman"/>
          <w:sz w:val="24"/>
          <w:szCs w:val="24"/>
        </w:rPr>
      </w:pPr>
      <w:r>
        <w:rPr>
          <w:rFonts w:hint="eastAsia" w:ascii="Times New Roman" w:hAnsi="Times New Roman" w:cs="Times New Roman"/>
          <w:b/>
          <w:bCs w:val="0"/>
          <w:sz w:val="24"/>
          <w:szCs w:val="24"/>
          <w:lang w:val="en-US" w:eastAsia="zh-CN"/>
        </w:rPr>
        <w:t xml:space="preserve">III </w:t>
      </w:r>
      <w:r>
        <w:rPr>
          <w:rFonts w:hint="default" w:ascii="Times New Roman" w:hAnsi="Times New Roman" w:cs="Times New Roman"/>
          <w:b/>
          <w:bCs w:val="0"/>
          <w:sz w:val="24"/>
          <w:szCs w:val="24"/>
        </w:rPr>
        <w:t xml:space="preserve"> Governance</w:t>
      </w:r>
      <w:r>
        <w:rPr>
          <w:rFonts w:hint="default" w:ascii="Times New Roman" w:hAnsi="Times New Roman" w:cs="Times New Roman"/>
          <w:b/>
          <w:bCs w:val="0"/>
          <w:sz w:val="24"/>
          <w:szCs w:val="24"/>
          <w:lang w:val="en-US" w:eastAsia="zh-CN"/>
        </w:rPr>
        <w:t xml:space="preserve"> And </w:t>
      </w:r>
      <w:r>
        <w:rPr>
          <w:rFonts w:hint="default" w:ascii="Times New Roman" w:hAnsi="Times New Roman" w:eastAsia="黑体" w:cs="Times New Roman"/>
          <w:b/>
          <w:bCs w:val="0"/>
          <w:kern w:val="2"/>
          <w:sz w:val="24"/>
          <w:szCs w:val="24"/>
          <w:lang w:val="en-US" w:eastAsia="zh-CN" w:bidi="ar"/>
        </w:rPr>
        <w:t>Risk mitigation measures</w:t>
      </w:r>
    </w:p>
    <w:p>
      <w:pPr>
        <w:pStyle w:val="45"/>
        <w:spacing w:before="157" w:after="157"/>
        <w:ind w:firstLine="482" w:firstLineChars="200"/>
        <w:rPr>
          <w:rFonts w:hint="default" w:ascii="Times New Roman" w:hAnsi="Times New Roman" w:eastAsia="黑体" w:cs="Times New Roman"/>
          <w:sz w:val="24"/>
          <w:szCs w:val="24"/>
          <w:lang w:val="en-US" w:eastAsia="zh-CN"/>
        </w:rPr>
      </w:pPr>
      <w:r>
        <w:rPr>
          <w:rFonts w:hint="eastAsia" w:ascii="Times New Roman" w:hAnsi="Times New Roman" w:cs="Times New Roman"/>
          <w:b/>
          <w:bCs w:val="0"/>
          <w:sz w:val="24"/>
          <w:szCs w:val="24"/>
          <w:lang w:val="en-US" w:eastAsia="zh-CN"/>
        </w:rPr>
        <w:t xml:space="preserve">i </w:t>
      </w:r>
      <w:r>
        <w:rPr>
          <w:rFonts w:hint="default" w:ascii="Times New Roman" w:hAnsi="Times New Roman" w:cs="Times New Roman"/>
          <w:b/>
          <w:bCs w:val="0"/>
          <w:sz w:val="24"/>
          <w:szCs w:val="24"/>
        </w:rPr>
        <w:t xml:space="preserve"> Regarding bribery and fraudulent misrepresentation of the origin of minerals</w:t>
      </w:r>
    </w:p>
    <w:p>
      <w:pPr>
        <w:ind w:firstLine="480" w:firstLineChars="200"/>
        <w:rPr>
          <w:rFonts w:hint="default" w:ascii="Times New Roman" w:hAnsi="Times New Roman"/>
          <w:sz w:val="24"/>
          <w:szCs w:val="24"/>
        </w:rPr>
      </w:pPr>
      <w:r>
        <w:rPr>
          <w:rFonts w:hint="default" w:ascii="Times New Roman" w:hAnsi="Times New Roman"/>
          <w:sz w:val="24"/>
          <w:szCs w:val="24"/>
        </w:rPr>
        <w:t>We will not offer, promise, give or demand any bribes, and will resist the solicitation of bribes to conceal or disguise the origin of minerals, to misrepresent taxes, fees and royalties paid to governments for the purposes of mineral extraction, trade, handling, transport and export.</w:t>
      </w:r>
    </w:p>
    <w:p>
      <w:pPr>
        <w:pStyle w:val="45"/>
        <w:spacing w:before="157" w:after="157"/>
        <w:ind w:firstLine="482" w:firstLineChars="200"/>
        <w:rPr>
          <w:rFonts w:hint="default" w:ascii="Times New Roman" w:hAnsi="Times New Roman" w:eastAsia="黑体" w:cs="Times New Roman"/>
          <w:sz w:val="24"/>
          <w:szCs w:val="24"/>
          <w:lang w:val="en-US" w:eastAsia="zh-CN"/>
        </w:rPr>
      </w:pPr>
      <w:r>
        <w:rPr>
          <w:rFonts w:hint="eastAsia" w:ascii="Times New Roman" w:hAnsi="Times New Roman" w:cs="Times New Roman"/>
          <w:b/>
          <w:bCs w:val="0"/>
          <w:sz w:val="24"/>
          <w:szCs w:val="24"/>
          <w:lang w:val="en-US" w:eastAsia="zh-CN"/>
        </w:rPr>
        <w:t xml:space="preserve">ii  </w:t>
      </w:r>
      <w:r>
        <w:rPr>
          <w:rFonts w:hint="default" w:ascii="Times New Roman" w:hAnsi="Times New Roman" w:cs="Times New Roman"/>
          <w:b/>
          <w:bCs w:val="0"/>
          <w:sz w:val="24"/>
          <w:szCs w:val="24"/>
        </w:rPr>
        <w:t>Regarding money laundering</w:t>
      </w:r>
    </w:p>
    <w:p>
      <w:pPr>
        <w:ind w:firstLine="480" w:firstLineChars="200"/>
        <w:rPr>
          <w:rFonts w:hint="default" w:ascii="Times New Roman" w:hAnsi="Times New Roman"/>
          <w:sz w:val="24"/>
          <w:szCs w:val="24"/>
        </w:rPr>
      </w:pPr>
      <w:r>
        <w:rPr>
          <w:rFonts w:hint="default" w:ascii="Times New Roman" w:hAnsi="Times New Roman"/>
          <w:sz w:val="24"/>
          <w:szCs w:val="24"/>
        </w:rPr>
        <w:t>We will support efforts, or take steps, to contribute to the effective elimination of money laundering where we identify a reasonable risk of money-laundering resulting from, or connected to, the extraction, trade, handling, transport or export of minerals derived from the illegal taxation or extortion of minerals at points of access to mine sites, along transportation routes or at points where minerals are traded by upstream suppliers.</w:t>
      </w:r>
    </w:p>
    <w:p>
      <w:pPr>
        <w:pStyle w:val="45"/>
        <w:spacing w:before="157" w:after="157"/>
        <w:ind w:firstLine="482" w:firstLineChars="200"/>
        <w:rPr>
          <w:rFonts w:hint="default" w:ascii="Times New Roman" w:hAnsi="Times New Roman" w:eastAsia="黑体" w:cs="Times New Roman"/>
          <w:sz w:val="24"/>
          <w:szCs w:val="24"/>
          <w:lang w:val="en-US" w:eastAsia="zh-CN"/>
        </w:rPr>
      </w:pPr>
      <w:r>
        <w:rPr>
          <w:rFonts w:hint="eastAsia" w:ascii="Times New Roman" w:hAnsi="Times New Roman" w:cs="Times New Roman"/>
          <w:b/>
          <w:bCs w:val="0"/>
          <w:sz w:val="24"/>
          <w:szCs w:val="24"/>
          <w:lang w:val="en-US" w:eastAsia="zh-CN"/>
        </w:rPr>
        <w:t xml:space="preserve">iii </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lang w:val="en-US" w:eastAsia="zh-CN"/>
        </w:rPr>
        <w:t>Regarding the payment of taxes, fees and royalties due to governments</w:t>
      </w:r>
    </w:p>
    <w:p>
      <w:pPr>
        <w:pStyle w:val="45"/>
        <w:spacing w:before="157" w:after="157"/>
        <w:rPr>
          <w:rFonts w:hint="default" w:ascii="Times New Roman" w:hAnsi="Times New Roman" w:cs="Times New Roman"/>
          <w:sz w:val="24"/>
          <w:szCs w:val="24"/>
        </w:rPr>
      </w:pPr>
      <w:r>
        <w:rPr>
          <w:rFonts w:hint="default" w:ascii="Times New Roman" w:hAnsi="Times New Roman"/>
          <w:sz w:val="24"/>
          <w:szCs w:val="24"/>
        </w:rPr>
        <w:t>We will ensure that all taxes, fees, and royalties related to mineral extraction, trade and export from conflict-affected and high-risk areas are paid to governments and, in accordance with the company’s position in the supply chain, we commit to disclose such payments in accordance with the requirements of host country on the disclosure of tax information paid to government departments.</w:t>
      </w:r>
    </w:p>
    <w:p>
      <w:pPr>
        <w:pStyle w:val="45"/>
        <w:spacing w:before="157" w:after="157"/>
        <w:ind w:firstLine="482" w:firstLineChars="200"/>
        <w:rPr>
          <w:rFonts w:hint="default" w:ascii="Times New Roman" w:hAnsi="Times New Roman" w:eastAsia="黑体" w:cs="Times New Roman"/>
          <w:sz w:val="24"/>
          <w:szCs w:val="24"/>
          <w:lang w:val="en-US" w:eastAsia="zh-CN"/>
        </w:rPr>
      </w:pPr>
      <w:r>
        <w:rPr>
          <w:rFonts w:hint="default" w:ascii="Times New Roman" w:hAnsi="Times New Roman" w:cs="Times New Roman"/>
          <w:b/>
          <w:bCs w:val="0"/>
          <w:sz w:val="24"/>
          <w:szCs w:val="24"/>
          <w:lang w:val="en-US" w:eastAsia="zh-CN"/>
        </w:rPr>
        <w:t xml:space="preserve">Risk mitigation measures: </w:t>
      </w:r>
    </w:p>
    <w:p>
      <w:pPr>
        <w:keepNext w:val="0"/>
        <w:keepLines w:val="0"/>
        <w:widowControl/>
        <w:suppressLineNumbers w:val="0"/>
        <w:ind w:left="0" w:leftChars="0" w:firstLine="480" w:firstLineChars="200"/>
        <w:jc w:val="left"/>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 xml:space="preserve">In accordance with the specific position of the company in the supply chain, we commit to engage with suppliers, central or local governmental authorities, international organisations, civil society and affected third parties, as appropriate, to improve and track performance with a view to preventing or mitigating risks of adverse impacts through measureable steps taken in reasonable timescales. We will suspend or discontinue engagement with upstream suppliers after failed attempts at mitigation. Companies should conduct an additional risk assessment on those risks requiring mitigation after the adoption of the risk management plan. If within six months from the adoption of the risk management plan there is no significant measurable improvement to prevent or mitigate the risks of bribery and fraudulent misrepresentation of the origin of minerals, money-laundering and payment of taxes, fees and royalties to governments, companies should suspend or discontinue engagement with the supplier for a minimum of three months. Suspension may be accompanied by a revised risk management plan, stating the performance objectives for progressive improvement that should be met before resuming the trade relationship. </w:t>
      </w:r>
    </w:p>
    <w:p>
      <w:pPr>
        <w:pStyle w:val="45"/>
        <w:spacing w:before="157" w:after="157"/>
        <w:rPr>
          <w:rFonts w:hint="default" w:ascii="Times New Roman" w:hAnsi="Times New Roman" w:eastAsia="黑体" w:cs="Times New Roman"/>
          <w:sz w:val="24"/>
          <w:szCs w:val="24"/>
          <w:lang w:val="en-US" w:eastAsia="zh-CN"/>
        </w:rPr>
      </w:pPr>
      <w:r>
        <w:rPr>
          <w:rFonts w:hint="eastAsia" w:ascii="Times New Roman" w:hAnsi="Times New Roman" w:cs="Times New Roman"/>
          <w:b/>
          <w:bCs w:val="0"/>
          <w:sz w:val="24"/>
          <w:szCs w:val="24"/>
          <w:lang w:val="en-US" w:eastAsia="zh-CN"/>
        </w:rPr>
        <w:t>IV</w:t>
      </w:r>
      <w:r>
        <w:rPr>
          <w:rFonts w:hint="default" w:ascii="Times New Roman" w:hAnsi="Times New Roman" w:cs="Times New Roman"/>
          <w:b/>
          <w:bCs w:val="0"/>
          <w:sz w:val="24"/>
          <w:szCs w:val="24"/>
        </w:rPr>
        <w:t xml:space="preserve"> </w:t>
      </w:r>
      <w:r>
        <w:rPr>
          <w:rFonts w:hint="eastAsia" w:ascii="Times New Roman" w:hAnsi="Times New Roman" w:cs="Times New Roman"/>
          <w:b/>
          <w:bCs w:val="0"/>
          <w:sz w:val="24"/>
          <w:szCs w:val="24"/>
          <w:lang w:val="en-US" w:eastAsia="zh-CN"/>
        </w:rPr>
        <w:t xml:space="preserve"> </w:t>
      </w:r>
      <w:r>
        <w:rPr>
          <w:rFonts w:hint="default" w:ascii="Times New Roman" w:hAnsi="Times New Roman" w:cs="Times New Roman"/>
          <w:b/>
          <w:bCs w:val="0"/>
          <w:sz w:val="24"/>
          <w:szCs w:val="24"/>
        </w:rPr>
        <w:t>Environment, Health and Safety</w:t>
      </w:r>
      <w:r>
        <w:rPr>
          <w:rFonts w:hint="default" w:ascii="Times New Roman" w:hAnsi="Times New Roman" w:cs="Times New Roman"/>
          <w:b/>
          <w:bCs w:val="0"/>
          <w:sz w:val="24"/>
          <w:szCs w:val="24"/>
          <w:lang w:val="en-US" w:eastAsia="zh-CN"/>
        </w:rPr>
        <w:t xml:space="preserve"> And </w:t>
      </w:r>
      <w:r>
        <w:rPr>
          <w:rFonts w:hint="default" w:ascii="Times New Roman" w:hAnsi="Times New Roman" w:eastAsia="黑体" w:cs="Times New Roman"/>
          <w:b/>
          <w:bCs w:val="0"/>
          <w:kern w:val="2"/>
          <w:sz w:val="24"/>
          <w:szCs w:val="24"/>
          <w:lang w:val="en-US" w:eastAsia="zh-CN" w:bidi="ar"/>
        </w:rPr>
        <w:t>Risk mitigation measures</w:t>
      </w:r>
    </w:p>
    <w:p>
      <w:pPr>
        <w:pStyle w:val="45"/>
        <w:spacing w:before="157" w:after="157"/>
        <w:ind w:firstLine="482" w:firstLineChars="200"/>
        <w:rPr>
          <w:rFonts w:hint="default" w:ascii="Times New Roman" w:hAnsi="Times New Roman" w:eastAsia="黑体" w:cs="Times New Roman"/>
          <w:sz w:val="24"/>
          <w:szCs w:val="24"/>
          <w:lang w:val="en-US" w:eastAsia="zh-CN"/>
        </w:rPr>
      </w:pPr>
      <w:r>
        <w:rPr>
          <w:rFonts w:hint="eastAsia" w:ascii="Times New Roman" w:hAnsi="Times New Roman" w:cs="Times New Roman"/>
          <w:b/>
          <w:bCs w:val="0"/>
          <w:sz w:val="24"/>
          <w:szCs w:val="24"/>
          <w:lang w:val="en-US" w:eastAsia="zh-CN"/>
        </w:rPr>
        <w:t xml:space="preserve">i </w:t>
      </w:r>
      <w:r>
        <w:rPr>
          <w:rFonts w:hint="default" w:ascii="Times New Roman" w:hAnsi="Times New Roman" w:cs="Times New Roman"/>
          <w:b/>
          <w:bCs w:val="0"/>
          <w:sz w:val="24"/>
          <w:szCs w:val="24"/>
        </w:rPr>
        <w:t xml:space="preserve"> Regarding environment protection</w:t>
      </w:r>
    </w:p>
    <w:p>
      <w:pPr>
        <w:ind w:firstLine="480" w:firstLineChars="200"/>
        <w:rPr>
          <w:rFonts w:hint="default" w:ascii="Times New Roman" w:hAnsi="Times New Roman"/>
          <w:sz w:val="24"/>
          <w:szCs w:val="24"/>
        </w:rPr>
      </w:pPr>
      <w:r>
        <w:rPr>
          <w:rFonts w:hint="default" w:ascii="Times New Roman" w:hAnsi="Times New Roman"/>
          <w:sz w:val="24"/>
          <w:szCs w:val="24"/>
        </w:rPr>
        <w:t>While sourcing from, or operating in high-risk areas, we will not profit from, assist with, or facilitate significant adverse impacts regarding ambient soil, air and water conditions, or source from or be linked to any party with gross violation of local laws and regulations. We will support or take actions to evaluate periodically to minimize the adverse impacts of extraction regarding soil, air and water.</w:t>
      </w:r>
    </w:p>
    <w:p>
      <w:pPr>
        <w:pStyle w:val="45"/>
        <w:spacing w:before="157" w:after="157"/>
        <w:ind w:firstLine="482" w:firstLineChars="200"/>
        <w:rPr>
          <w:rFonts w:hint="default" w:ascii="Times New Roman" w:hAnsi="Times New Roman" w:eastAsia="黑体" w:cs="Times New Roman"/>
          <w:sz w:val="24"/>
          <w:szCs w:val="24"/>
          <w:lang w:val="en-US" w:eastAsia="zh-CN"/>
        </w:rPr>
      </w:pPr>
      <w:r>
        <w:rPr>
          <w:rFonts w:hint="eastAsia" w:ascii="Times New Roman" w:hAnsi="Times New Roman" w:cs="Times New Roman"/>
          <w:b/>
          <w:bCs w:val="0"/>
          <w:sz w:val="24"/>
          <w:szCs w:val="24"/>
          <w:lang w:val="en-US" w:eastAsia="zh-CN"/>
        </w:rPr>
        <w:t xml:space="preserve">ii  </w:t>
      </w:r>
      <w:r>
        <w:rPr>
          <w:rFonts w:hint="default" w:ascii="Times New Roman" w:hAnsi="Times New Roman" w:cs="Times New Roman"/>
          <w:b/>
          <w:bCs w:val="0"/>
          <w:sz w:val="24"/>
          <w:szCs w:val="24"/>
        </w:rPr>
        <w:t>Regarding occupational health and safety</w:t>
      </w:r>
    </w:p>
    <w:p>
      <w:pPr>
        <w:pStyle w:val="45"/>
        <w:spacing w:before="157" w:after="157"/>
        <w:rPr>
          <w:rFonts w:hint="default" w:ascii="Times New Roman" w:hAnsi="Times New Roman" w:cs="Times New Roman"/>
          <w:sz w:val="24"/>
          <w:szCs w:val="24"/>
        </w:rPr>
      </w:pPr>
      <w:r>
        <w:rPr>
          <w:rFonts w:hint="default" w:ascii="Times New Roman" w:hAnsi="Times New Roman"/>
          <w:sz w:val="24"/>
          <w:szCs w:val="24"/>
        </w:rPr>
        <w:t>While sourcing from, or operating in high-risk areas, we will not profit from, assist with, or facilitate or source from, or be linked to, any party providing life threatening occupational health and safety conditions to direct and / or indirect employees and / or any person present on the party's operations.</w:t>
      </w:r>
    </w:p>
    <w:p>
      <w:pPr>
        <w:pStyle w:val="45"/>
        <w:spacing w:before="157" w:after="157"/>
        <w:ind w:firstLine="482" w:firstLineChars="200"/>
        <w:rPr>
          <w:rFonts w:hint="default" w:ascii="Times New Roman" w:hAnsi="Times New Roman" w:eastAsia="黑体" w:cs="Times New Roman"/>
          <w:sz w:val="24"/>
          <w:szCs w:val="24"/>
          <w:lang w:val="en-US" w:eastAsia="zh-CN"/>
        </w:rPr>
      </w:pPr>
      <w:r>
        <w:rPr>
          <w:rFonts w:hint="default" w:ascii="Times New Roman" w:hAnsi="Times New Roman" w:cs="Times New Roman"/>
          <w:b/>
          <w:bCs w:val="0"/>
          <w:sz w:val="24"/>
          <w:szCs w:val="24"/>
        </w:rPr>
        <w:t xml:space="preserve">Risk mitigation measures: </w:t>
      </w:r>
    </w:p>
    <w:p>
      <w:pPr>
        <w:pStyle w:val="45"/>
        <w:spacing w:before="157" w:after="157"/>
        <w:rPr>
          <w:rFonts w:hint="default" w:ascii="Times New Roman" w:hAnsi="Times New Roman" w:cs="Times New Roman"/>
          <w:sz w:val="24"/>
          <w:szCs w:val="24"/>
        </w:rPr>
      </w:pPr>
      <w:r>
        <w:rPr>
          <w:rFonts w:hint="default" w:ascii="Times New Roman" w:hAnsi="Times New Roman"/>
          <w:sz w:val="24"/>
          <w:szCs w:val="24"/>
        </w:rPr>
        <w:t>We will immediately devise, adopt and implement a risk management plan with upstream suppliers and other stakeholders to prevent or mitigate the risk of environment protection and occupational health and safety, where we identify that such a reasonable risk exists. In such cases, we will suspend or discontinue engagement with upstream suppliers after failed attempts at mitigation within six months from the adoption of the risk management plan.</w:t>
      </w:r>
    </w:p>
    <w:p>
      <w:pPr>
        <w:pStyle w:val="45"/>
        <w:spacing w:before="157" w:after="157"/>
        <w:rPr>
          <w:rFonts w:hint="default" w:ascii="Times New Roman" w:hAnsi="Times New Roman" w:eastAsia="黑体" w:cs="Times New Roman"/>
          <w:sz w:val="24"/>
          <w:szCs w:val="24"/>
          <w:lang w:val="en-US" w:eastAsia="zh-CN"/>
        </w:rPr>
      </w:pPr>
      <w:r>
        <w:rPr>
          <w:rFonts w:hint="eastAsia" w:ascii="Times New Roman" w:hAnsi="Times New Roman" w:cs="Times New Roman"/>
          <w:b/>
          <w:bCs w:val="0"/>
          <w:sz w:val="24"/>
          <w:szCs w:val="24"/>
          <w:lang w:val="en-US" w:eastAsia="zh-CN"/>
        </w:rPr>
        <w:t xml:space="preserve">V  </w:t>
      </w:r>
      <w:r>
        <w:rPr>
          <w:rFonts w:hint="default" w:ascii="Times New Roman" w:hAnsi="Times New Roman" w:cs="Times New Roman"/>
          <w:b/>
          <w:bCs w:val="0"/>
          <w:sz w:val="24"/>
          <w:szCs w:val="24"/>
        </w:rPr>
        <w:t>Complaint Channel:</w:t>
      </w:r>
    </w:p>
    <w:p>
      <w:pPr>
        <w:ind w:firstLine="480" w:firstLineChars="200"/>
        <w:rPr>
          <w:rFonts w:hint="default" w:ascii="Times New Roman" w:hAnsi="Times New Roman"/>
          <w:sz w:val="24"/>
          <w:szCs w:val="24"/>
        </w:rPr>
      </w:pPr>
      <w:r>
        <w:rPr>
          <w:rFonts w:hint="default" w:ascii="Times New Roman" w:hAnsi="Times New Roman"/>
          <w:sz w:val="24"/>
          <w:szCs w:val="24"/>
        </w:rPr>
        <w:t>Any internal or external stakeholders may raise and discuss any comments, suggestions and complaints regarding the human rights, conflicts, governance, environmental protection and occupational health and safety in the process of mining, trading, processing and exporting materials covered by this policy.</w:t>
      </w:r>
    </w:p>
    <w:p>
      <w:pPr>
        <w:ind w:firstLine="480" w:firstLineChars="200"/>
        <w:rPr>
          <w:rFonts w:hint="default" w:ascii="Times New Roman" w:hAnsi="Times New Roman"/>
          <w:sz w:val="24"/>
          <w:szCs w:val="24"/>
        </w:rPr>
      </w:pPr>
      <w:r>
        <w:rPr>
          <w:rFonts w:hint="default" w:ascii="Times New Roman" w:hAnsi="Times New Roman"/>
          <w:sz w:val="24"/>
          <w:szCs w:val="24"/>
        </w:rPr>
        <w:t>Tel：</w:t>
      </w:r>
      <w:r>
        <w:rPr>
          <w:rFonts w:hint="eastAsia" w:ascii="Times New Roman" w:hAnsi="Times New Roman"/>
          <w:sz w:val="24"/>
          <w:szCs w:val="24"/>
        </w:rPr>
        <w:t>86-</w:t>
      </w:r>
      <w:r>
        <w:rPr>
          <w:rFonts w:hint="eastAsia" w:ascii="Times New Roman" w:hAnsi="Times New Roman"/>
          <w:sz w:val="24"/>
          <w:szCs w:val="24"/>
          <w:lang w:val="en-US" w:eastAsia="zh-CN"/>
        </w:rPr>
        <w:t>0</w:t>
      </w:r>
      <w:r>
        <w:rPr>
          <w:rFonts w:hint="eastAsia" w:ascii="Times New Roman" w:hAnsi="Times New Roman"/>
          <w:sz w:val="24"/>
          <w:szCs w:val="24"/>
        </w:rPr>
        <w:t>597-3626837</w:t>
      </w:r>
    </w:p>
    <w:p>
      <w:pPr>
        <w:ind w:firstLine="480" w:firstLineChars="200"/>
        <w:rPr>
          <w:rFonts w:hint="default" w:ascii="Times New Roman" w:hAnsi="Times New Roman"/>
          <w:sz w:val="24"/>
          <w:szCs w:val="24"/>
        </w:rPr>
      </w:pPr>
      <w:r>
        <w:rPr>
          <w:rFonts w:hint="default" w:ascii="Times New Roman" w:hAnsi="Times New Roman"/>
          <w:sz w:val="24"/>
          <w:szCs w:val="24"/>
        </w:rPr>
        <w:t>Email：</w:t>
      </w:r>
      <w:r>
        <w:rPr>
          <w:rFonts w:hint="eastAsia" w:ascii="Times New Roman" w:hAnsi="Times New Roman"/>
          <w:sz w:val="24"/>
          <w:szCs w:val="24"/>
        </w:rPr>
        <w:t>zjtyxsyk@zijinmining.com</w:t>
      </w:r>
      <w:bookmarkStart w:id="48" w:name="_GoBack"/>
      <w:bookmarkEnd w:id="48"/>
    </w:p>
    <w:p>
      <w:pPr>
        <w:ind w:firstLine="480" w:firstLineChars="200"/>
        <w:rPr>
          <w:rFonts w:hint="default" w:ascii="Times New Roman" w:hAnsi="Times New Roman"/>
          <w:sz w:val="24"/>
          <w:szCs w:val="24"/>
        </w:rPr>
      </w:pPr>
    </w:p>
    <w:p>
      <w:pPr>
        <w:ind w:firstLine="480" w:firstLineChars="200"/>
        <w:rPr>
          <w:rFonts w:hint="default" w:ascii="Times New Roman" w:hAnsi="Times New Roman"/>
          <w:sz w:val="24"/>
          <w:szCs w:val="24"/>
        </w:rPr>
      </w:pPr>
    </w:p>
    <w:p>
      <w:pPr>
        <w:pStyle w:val="70"/>
        <w:spacing w:line="360" w:lineRule="auto"/>
        <w:ind w:left="0" w:leftChars="0" w:firstLine="5040" w:firstLineChars="2100"/>
        <w:rPr>
          <w:rFonts w:hint="eastAsia" w:ascii="Times New Roman" w:hAnsi="Times New Roman" w:eastAsia="宋体" w:cs="Times New Roman"/>
          <w:color w:val="000000"/>
          <w:kern w:val="0"/>
          <w:sz w:val="24"/>
          <w:szCs w:val="24"/>
          <w:lang w:val="en-US" w:eastAsia="zh-CN" w:bidi="ar"/>
        </w:rPr>
      </w:pPr>
    </w:p>
    <w:p>
      <w:pPr>
        <w:pStyle w:val="70"/>
        <w:spacing w:line="360" w:lineRule="auto"/>
        <w:ind w:left="0" w:leftChars="0" w:firstLine="5280" w:firstLineChars="2200"/>
        <w:rPr>
          <w:rFonts w:ascii="宋体" w:hAnsi="宋体" w:eastAsia="宋体"/>
        </w:rPr>
      </w:pPr>
      <w:r>
        <w:rPr>
          <w:rFonts w:hint="eastAsia" w:ascii="Times New Roman" w:hAnsi="Times New Roman" w:eastAsia="宋体" w:cs="Times New Roman"/>
          <w:color w:val="000000"/>
          <w:kern w:val="0"/>
          <w:sz w:val="24"/>
          <w:szCs w:val="24"/>
          <w:lang w:val="en-US" w:eastAsia="zh-CN" w:bidi="ar"/>
        </w:rPr>
        <w:t>Effective Date：13 February 2023</w:t>
      </w:r>
    </w:p>
    <w:p>
      <w:pPr>
        <w:ind w:firstLine="480" w:firstLineChars="200"/>
        <w:rPr>
          <w:rFonts w:hint="eastAsia" w:ascii="Times New Roman" w:hAnsi="Times New Roman" w:eastAsia="宋体"/>
          <w:sz w:val="24"/>
          <w:szCs w:val="24"/>
          <w:lang w:val="en-US" w:eastAsia="zh-CN"/>
        </w:rPr>
      </w:pPr>
      <w:r>
        <w:rPr>
          <w:rFonts w:hint="eastAsia" w:ascii="Times New Roman" w:hAnsi="Times New Roman"/>
          <w:sz w:val="24"/>
          <w:szCs w:val="24"/>
          <w:lang w:val="en-US" w:eastAsia="zh-CN"/>
        </w:rPr>
        <w:t xml:space="preserve"> </w:t>
      </w:r>
    </w:p>
    <w:p>
      <w:pPr>
        <w:ind w:firstLine="480" w:firstLineChars="200"/>
        <w:rPr>
          <w:rFonts w:hint="default" w:ascii="Times New Roman" w:hAnsi="Times New Roman"/>
          <w:sz w:val="24"/>
          <w:szCs w:val="24"/>
        </w:rPr>
      </w:pPr>
    </w:p>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Pr>
        <w:widowControl w:val="0"/>
        <w:jc w:val="both"/>
        <w:rPr>
          <w:rFonts w:ascii="Times New Roman" w:hAnsi="Times New Roman"/>
          <w:kern w:val="2"/>
          <w:sz w:val="24"/>
          <w:szCs w:val="24"/>
        </w:rPr>
      </w:pPr>
    </w:p>
    <w:sectPr>
      <w:headerReference r:id="rId3" w:type="default"/>
      <w:footerReference r:id="rId4" w:type="default"/>
      <w:pgSz w:w="11849" w:h="16781"/>
      <w:pgMar w:top="1417" w:right="1134" w:bottom="1134" w:left="1417" w:header="851" w:footer="992" w:gutter="0"/>
      <w:pgNumType w:start="1"/>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rect id="Rectangle 2" o:spid="_x0000_s4097" o:spt="1" style="position:absolute;left:0pt;margin-top:0pt;height:19.55pt;width:52.1pt;mso-position-horizontal:center;mso-position-horizontal-relative:margin;z-index:251660288;mso-width-relative:page;mso-height-relative:page;" filled="f" stroked="f" coordsize="21600,21600">
          <v:path/>
          <v:fill on="f" focussize="0,0"/>
          <v:stroke on="f"/>
          <v:imagedata o:title=""/>
          <o:lock v:ext="edit" aspectratio="f"/>
          <v:textbox inset="0mm,0mm,0mm,0mm">
            <w:txbxContent>
              <w:p>
                <w:pPr>
                  <w:snapToGrid w:val="0"/>
                  <w:rPr>
                    <w:rFonts w:hint="eastAsia" w:eastAsia="宋体"/>
                    <w:sz w:val="18"/>
                    <w:lang w:val="en-US" w:eastAsia="zh-CN"/>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w:t>
                </w:r>
                <w:r>
                  <w:rPr>
                    <w:rFonts w:hint="eastAsia"/>
                    <w:sz w:val="18"/>
                    <w:lang w:val="en-US" w:eastAsia="zh-CN"/>
                  </w:rPr>
                  <w:t>4</w:t>
                </w:r>
              </w:p>
            </w:txbxContent>
          </v:textbox>
        </v:rect>
      </w:pict>
    </w:r>
    <w:r>
      <w:pict>
        <v:rect id="文本框 4" o:spid="_x0000_s4098"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snapToGrid w:val="0"/>
                  <w:rPr>
                    <w:sz w:val="18"/>
                  </w:rPr>
                </w:pP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jc w:val="both"/>
    </w:pPr>
    <w:r>
      <w:rPr>
        <w:sz w:val="28"/>
        <w:szCs w:val="28"/>
      </w:rPr>
      <w:pict>
        <v:shape id="_x0000_i1025" o:spt="75" type="#_x0000_t75" style="height:14pt;width:52pt;" filled="f" o:preferrelative="t" stroked="f" coordsize="21600,21600">
          <v:path/>
          <v:fill on="f" focussize="0,0"/>
          <v:stroke on="f" joinstyle="miter"/>
          <v:imagedata r:id="rId1" o:title=""/>
          <o:lock v:ext="edit" aspectratio="t"/>
          <w10:wrap type="none"/>
          <w10:anchorlock/>
        </v:shape>
      </w:pict>
    </w:r>
    <w:r>
      <w:rPr>
        <w:rFonts w:hint="eastAsia"/>
        <w:sz w:val="28"/>
        <w:szCs w:val="28"/>
      </w:rPr>
      <w:t xml:space="preserve">      </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ZJTY/CO-QEO-093-2023</w:t>
    </w:r>
    <w:r>
      <w:rPr>
        <w:rFonts w:hint="eastAsia"/>
        <w:sz w:val="28"/>
        <w:szCs w:val="28"/>
      </w:rPr>
      <w:t xml:space="preserve">     </w:t>
    </w:r>
    <w:r>
      <w:rPr>
        <w:rFonts w:hint="eastAsia"/>
        <w:sz w:val="28"/>
        <w:szCs w:val="28"/>
        <w:lang w:val="en-US" w:eastAsia="zh-CN"/>
      </w:rPr>
      <w:t xml:space="preserve">          </w:t>
    </w:r>
    <w:r>
      <w:rPr>
        <w:rFonts w:hint="eastAsia"/>
        <w:sz w:val="28"/>
        <w:szCs w:val="28"/>
      </w:rPr>
      <w:t>V1</w:t>
    </w:r>
    <w:r>
      <w:rPr>
        <w:rFonts w:hint="eastAsia"/>
        <w:sz w:val="28"/>
        <w:szCs w:val="28"/>
        <w:lang w:val="en-US" w:eastAsia="zh-CN"/>
      </w:rPr>
      <w:t>1</w:t>
    </w:r>
    <w:r>
      <w:rPr>
        <w:rFonts w:hint="eastAsia"/>
        <w:sz w:val="28"/>
        <w:szCs w:val="28"/>
      </w:rPr>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2CC44A"/>
    <w:multiLevelType w:val="singleLevel"/>
    <w:tmpl w:val="432CC44A"/>
    <w:lvl w:ilvl="0" w:tentative="0">
      <w:start w:val="1"/>
      <w:numFmt w:val="decimal"/>
      <w:pStyle w:val="44"/>
      <w:suff w:val="space"/>
      <w:lvlText w:val="%1."/>
      <w:lvlJc w:val="left"/>
    </w:lvl>
  </w:abstractNum>
  <w:abstractNum w:abstractNumId="1">
    <w:nsid w:val="77648B66"/>
    <w:multiLevelType w:val="singleLevel"/>
    <w:tmpl w:val="77648B66"/>
    <w:lvl w:ilvl="0" w:tentative="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zVkYjlmMDBjN2U1YjZjMzEwMzJkMGU4MzcyYmQ0MWMifQ=="/>
    <w:docVar w:name="KGWebUrl" w:val="http://172.22.35.10:80/defaultroot/OfficeServer"/>
  </w:docVars>
  <w:rsids>
    <w:rsidRoot w:val="20D8478C"/>
    <w:rsid w:val="000B4E4F"/>
    <w:rsid w:val="00163E68"/>
    <w:rsid w:val="0024374B"/>
    <w:rsid w:val="002A3C6D"/>
    <w:rsid w:val="00341275"/>
    <w:rsid w:val="00355707"/>
    <w:rsid w:val="003743E8"/>
    <w:rsid w:val="00386B74"/>
    <w:rsid w:val="003A6BF5"/>
    <w:rsid w:val="004C54BF"/>
    <w:rsid w:val="00576E50"/>
    <w:rsid w:val="005D506C"/>
    <w:rsid w:val="00602ADC"/>
    <w:rsid w:val="006113B8"/>
    <w:rsid w:val="00665044"/>
    <w:rsid w:val="006A00AD"/>
    <w:rsid w:val="00725770"/>
    <w:rsid w:val="007469C9"/>
    <w:rsid w:val="0081419C"/>
    <w:rsid w:val="00843289"/>
    <w:rsid w:val="00862FC3"/>
    <w:rsid w:val="008723E8"/>
    <w:rsid w:val="008738C4"/>
    <w:rsid w:val="009B4D8E"/>
    <w:rsid w:val="009F168B"/>
    <w:rsid w:val="00A05515"/>
    <w:rsid w:val="00A34F27"/>
    <w:rsid w:val="00A737B2"/>
    <w:rsid w:val="00B512B1"/>
    <w:rsid w:val="00BB1641"/>
    <w:rsid w:val="00BC1E5B"/>
    <w:rsid w:val="00C363C8"/>
    <w:rsid w:val="00D03876"/>
    <w:rsid w:val="00D96B60"/>
    <w:rsid w:val="00DE7570"/>
    <w:rsid w:val="00E26432"/>
    <w:rsid w:val="00E34540"/>
    <w:rsid w:val="00E8182C"/>
    <w:rsid w:val="00EB05B7"/>
    <w:rsid w:val="00F167D6"/>
    <w:rsid w:val="00F16B1D"/>
    <w:rsid w:val="00F2184B"/>
    <w:rsid w:val="00F27BE8"/>
    <w:rsid w:val="00FA3779"/>
    <w:rsid w:val="00FA7205"/>
    <w:rsid w:val="00FD7DFC"/>
    <w:rsid w:val="010D5FC6"/>
    <w:rsid w:val="016B05D4"/>
    <w:rsid w:val="01A20482"/>
    <w:rsid w:val="01D11587"/>
    <w:rsid w:val="02227115"/>
    <w:rsid w:val="02323BAA"/>
    <w:rsid w:val="02B93CEC"/>
    <w:rsid w:val="02DE1086"/>
    <w:rsid w:val="03141FAE"/>
    <w:rsid w:val="0333594B"/>
    <w:rsid w:val="03942A31"/>
    <w:rsid w:val="03C860FC"/>
    <w:rsid w:val="04492F15"/>
    <w:rsid w:val="04967360"/>
    <w:rsid w:val="04991D9B"/>
    <w:rsid w:val="04C02F18"/>
    <w:rsid w:val="04F85637"/>
    <w:rsid w:val="050605D6"/>
    <w:rsid w:val="05843AE0"/>
    <w:rsid w:val="060B171E"/>
    <w:rsid w:val="067B3A34"/>
    <w:rsid w:val="06DB6585"/>
    <w:rsid w:val="06DF21A4"/>
    <w:rsid w:val="06E25F43"/>
    <w:rsid w:val="070B2ABA"/>
    <w:rsid w:val="070D149F"/>
    <w:rsid w:val="07A6619A"/>
    <w:rsid w:val="07D2051C"/>
    <w:rsid w:val="08074F3A"/>
    <w:rsid w:val="084D31AF"/>
    <w:rsid w:val="085A56C4"/>
    <w:rsid w:val="089D3628"/>
    <w:rsid w:val="090076D0"/>
    <w:rsid w:val="09026457"/>
    <w:rsid w:val="0A6A4724"/>
    <w:rsid w:val="0AB4389F"/>
    <w:rsid w:val="0ADC375E"/>
    <w:rsid w:val="0AE20526"/>
    <w:rsid w:val="0B505490"/>
    <w:rsid w:val="0BA9330D"/>
    <w:rsid w:val="0BD75116"/>
    <w:rsid w:val="0C9308B1"/>
    <w:rsid w:val="0CBA248E"/>
    <w:rsid w:val="0CEA12C0"/>
    <w:rsid w:val="0D192D09"/>
    <w:rsid w:val="0D1A5D55"/>
    <w:rsid w:val="0D2C3CDA"/>
    <w:rsid w:val="0D542BF8"/>
    <w:rsid w:val="0D9A669A"/>
    <w:rsid w:val="0E1B4EB5"/>
    <w:rsid w:val="0E656B51"/>
    <w:rsid w:val="0FC72972"/>
    <w:rsid w:val="0FD203EE"/>
    <w:rsid w:val="0FDC3811"/>
    <w:rsid w:val="0FF63FA6"/>
    <w:rsid w:val="104F693B"/>
    <w:rsid w:val="105A2B1E"/>
    <w:rsid w:val="10B85FB1"/>
    <w:rsid w:val="11440BE5"/>
    <w:rsid w:val="1239226F"/>
    <w:rsid w:val="12B75DF4"/>
    <w:rsid w:val="12C1034F"/>
    <w:rsid w:val="133D2F1E"/>
    <w:rsid w:val="13A762D9"/>
    <w:rsid w:val="14186D67"/>
    <w:rsid w:val="1441006B"/>
    <w:rsid w:val="14F13869"/>
    <w:rsid w:val="15097BA6"/>
    <w:rsid w:val="153E45AB"/>
    <w:rsid w:val="1558696D"/>
    <w:rsid w:val="15A75916"/>
    <w:rsid w:val="16797E6D"/>
    <w:rsid w:val="169E3E87"/>
    <w:rsid w:val="16A67B9D"/>
    <w:rsid w:val="16E95E5F"/>
    <w:rsid w:val="16EB6EA7"/>
    <w:rsid w:val="16F7653D"/>
    <w:rsid w:val="173730C2"/>
    <w:rsid w:val="173E5632"/>
    <w:rsid w:val="174D3EBA"/>
    <w:rsid w:val="17FE35E4"/>
    <w:rsid w:val="182868AE"/>
    <w:rsid w:val="184E6AEE"/>
    <w:rsid w:val="188C1E56"/>
    <w:rsid w:val="18926A55"/>
    <w:rsid w:val="18A05273"/>
    <w:rsid w:val="18A961DF"/>
    <w:rsid w:val="18D86A52"/>
    <w:rsid w:val="18EC3C9C"/>
    <w:rsid w:val="1903712B"/>
    <w:rsid w:val="192432CE"/>
    <w:rsid w:val="192E2ED6"/>
    <w:rsid w:val="195103CE"/>
    <w:rsid w:val="19E337F1"/>
    <w:rsid w:val="19E971DB"/>
    <w:rsid w:val="1A3A3236"/>
    <w:rsid w:val="1AC474F7"/>
    <w:rsid w:val="1AF4721F"/>
    <w:rsid w:val="1AF91F50"/>
    <w:rsid w:val="1B341898"/>
    <w:rsid w:val="1BA90A6F"/>
    <w:rsid w:val="1BC33B81"/>
    <w:rsid w:val="1BEA4D5B"/>
    <w:rsid w:val="1C1C76E4"/>
    <w:rsid w:val="1C2978F3"/>
    <w:rsid w:val="1C2E35CB"/>
    <w:rsid w:val="1C833C55"/>
    <w:rsid w:val="1C93646E"/>
    <w:rsid w:val="1CC26FBD"/>
    <w:rsid w:val="1CE94C7E"/>
    <w:rsid w:val="1D5907B5"/>
    <w:rsid w:val="1D8F0099"/>
    <w:rsid w:val="1DAD5D06"/>
    <w:rsid w:val="1DBE7C8B"/>
    <w:rsid w:val="1E1453E0"/>
    <w:rsid w:val="1E420733"/>
    <w:rsid w:val="1E8F4FAF"/>
    <w:rsid w:val="1E95273B"/>
    <w:rsid w:val="1EA1074C"/>
    <w:rsid w:val="1ED35AA3"/>
    <w:rsid w:val="1F464788"/>
    <w:rsid w:val="1F4C795C"/>
    <w:rsid w:val="20177D4F"/>
    <w:rsid w:val="201E69BF"/>
    <w:rsid w:val="2038536A"/>
    <w:rsid w:val="20D8478C"/>
    <w:rsid w:val="20E0427F"/>
    <w:rsid w:val="21110C7A"/>
    <w:rsid w:val="21B75459"/>
    <w:rsid w:val="21BE2CF0"/>
    <w:rsid w:val="22177DFE"/>
    <w:rsid w:val="22214E8B"/>
    <w:rsid w:val="22C6341A"/>
    <w:rsid w:val="22E53CCF"/>
    <w:rsid w:val="23050980"/>
    <w:rsid w:val="231118C6"/>
    <w:rsid w:val="23227E8C"/>
    <w:rsid w:val="232626B3"/>
    <w:rsid w:val="23891010"/>
    <w:rsid w:val="238C7BEF"/>
    <w:rsid w:val="238F08E6"/>
    <w:rsid w:val="23D902C0"/>
    <w:rsid w:val="246B6FCE"/>
    <w:rsid w:val="24BD49C9"/>
    <w:rsid w:val="25CA3897"/>
    <w:rsid w:val="25E84169"/>
    <w:rsid w:val="25F22C08"/>
    <w:rsid w:val="25F737A2"/>
    <w:rsid w:val="264B61DF"/>
    <w:rsid w:val="265B54B1"/>
    <w:rsid w:val="26A9378A"/>
    <w:rsid w:val="26E25459"/>
    <w:rsid w:val="27180F8A"/>
    <w:rsid w:val="274A634F"/>
    <w:rsid w:val="27CB31D8"/>
    <w:rsid w:val="280276BA"/>
    <w:rsid w:val="2859360E"/>
    <w:rsid w:val="28671BFE"/>
    <w:rsid w:val="291273E1"/>
    <w:rsid w:val="293A0E30"/>
    <w:rsid w:val="2973448D"/>
    <w:rsid w:val="29AB746F"/>
    <w:rsid w:val="2A083830"/>
    <w:rsid w:val="2A1A321E"/>
    <w:rsid w:val="2AAC3534"/>
    <w:rsid w:val="2AED757D"/>
    <w:rsid w:val="2AF12700"/>
    <w:rsid w:val="2AF31486"/>
    <w:rsid w:val="2B17347C"/>
    <w:rsid w:val="2B242A0D"/>
    <w:rsid w:val="2B3D6769"/>
    <w:rsid w:val="2B586C2C"/>
    <w:rsid w:val="2BB6251C"/>
    <w:rsid w:val="2BDE6F49"/>
    <w:rsid w:val="2C004B0E"/>
    <w:rsid w:val="2C156FDF"/>
    <w:rsid w:val="2C484737"/>
    <w:rsid w:val="2C4F1DFB"/>
    <w:rsid w:val="2C734AAF"/>
    <w:rsid w:val="2CD05FD9"/>
    <w:rsid w:val="2D1A3CE9"/>
    <w:rsid w:val="2D29390E"/>
    <w:rsid w:val="2D4F5A62"/>
    <w:rsid w:val="2D616207"/>
    <w:rsid w:val="2D7E205A"/>
    <w:rsid w:val="2D8D3349"/>
    <w:rsid w:val="2DD82143"/>
    <w:rsid w:val="2E3D1E67"/>
    <w:rsid w:val="2E721D50"/>
    <w:rsid w:val="2E7D64D4"/>
    <w:rsid w:val="2EE03241"/>
    <w:rsid w:val="2F182458"/>
    <w:rsid w:val="2F244620"/>
    <w:rsid w:val="2F364819"/>
    <w:rsid w:val="2F46011B"/>
    <w:rsid w:val="2FA07530"/>
    <w:rsid w:val="2FC7087A"/>
    <w:rsid w:val="2FC71915"/>
    <w:rsid w:val="2FCC43AF"/>
    <w:rsid w:val="300701D9"/>
    <w:rsid w:val="301349D9"/>
    <w:rsid w:val="302A3C11"/>
    <w:rsid w:val="313047C4"/>
    <w:rsid w:val="31561A62"/>
    <w:rsid w:val="31D461CB"/>
    <w:rsid w:val="31F44517"/>
    <w:rsid w:val="329B783A"/>
    <w:rsid w:val="32CF5169"/>
    <w:rsid w:val="32FC32C3"/>
    <w:rsid w:val="331D2CEA"/>
    <w:rsid w:val="337F011F"/>
    <w:rsid w:val="339C626B"/>
    <w:rsid w:val="33A22F43"/>
    <w:rsid w:val="33DC783F"/>
    <w:rsid w:val="33F26482"/>
    <w:rsid w:val="34101EA9"/>
    <w:rsid w:val="34312C42"/>
    <w:rsid w:val="343B467F"/>
    <w:rsid w:val="35170A3E"/>
    <w:rsid w:val="356E797C"/>
    <w:rsid w:val="3599588C"/>
    <w:rsid w:val="35DC154A"/>
    <w:rsid w:val="35E05D71"/>
    <w:rsid w:val="35FC44E4"/>
    <w:rsid w:val="362A0574"/>
    <w:rsid w:val="365B56BB"/>
    <w:rsid w:val="36661182"/>
    <w:rsid w:val="36716136"/>
    <w:rsid w:val="36B129D7"/>
    <w:rsid w:val="36D1697E"/>
    <w:rsid w:val="36DD0145"/>
    <w:rsid w:val="378157EE"/>
    <w:rsid w:val="37BF0805"/>
    <w:rsid w:val="37D72629"/>
    <w:rsid w:val="38710629"/>
    <w:rsid w:val="387B27FC"/>
    <w:rsid w:val="38975BFC"/>
    <w:rsid w:val="389865CB"/>
    <w:rsid w:val="38A30A78"/>
    <w:rsid w:val="38C37B61"/>
    <w:rsid w:val="397B0F39"/>
    <w:rsid w:val="39B8075C"/>
    <w:rsid w:val="39D25564"/>
    <w:rsid w:val="3A503F72"/>
    <w:rsid w:val="3A8328DC"/>
    <w:rsid w:val="3A88347D"/>
    <w:rsid w:val="3A900623"/>
    <w:rsid w:val="3AB54FE0"/>
    <w:rsid w:val="3B0D7B84"/>
    <w:rsid w:val="3B7822BF"/>
    <w:rsid w:val="3B7905A1"/>
    <w:rsid w:val="3B9431ED"/>
    <w:rsid w:val="3BA40D5C"/>
    <w:rsid w:val="3BBD1E1E"/>
    <w:rsid w:val="3BC83BA3"/>
    <w:rsid w:val="3C43615A"/>
    <w:rsid w:val="3C7704C4"/>
    <w:rsid w:val="3CA8158F"/>
    <w:rsid w:val="3CE735D9"/>
    <w:rsid w:val="3D033860"/>
    <w:rsid w:val="3D6B3766"/>
    <w:rsid w:val="3D955418"/>
    <w:rsid w:val="3DAE1461"/>
    <w:rsid w:val="3E09759C"/>
    <w:rsid w:val="3E1C1796"/>
    <w:rsid w:val="3E355E9B"/>
    <w:rsid w:val="3E65226D"/>
    <w:rsid w:val="3F036BD4"/>
    <w:rsid w:val="3FEB7BE1"/>
    <w:rsid w:val="401A4DB7"/>
    <w:rsid w:val="407D2EE6"/>
    <w:rsid w:val="40D91972"/>
    <w:rsid w:val="40DC4AF4"/>
    <w:rsid w:val="4134214D"/>
    <w:rsid w:val="414B7AAF"/>
    <w:rsid w:val="41960202"/>
    <w:rsid w:val="41D7484C"/>
    <w:rsid w:val="41E56273"/>
    <w:rsid w:val="423A60B6"/>
    <w:rsid w:val="42876CE2"/>
    <w:rsid w:val="42C8119D"/>
    <w:rsid w:val="42C85330"/>
    <w:rsid w:val="42D96EB9"/>
    <w:rsid w:val="43C348B8"/>
    <w:rsid w:val="43D47D05"/>
    <w:rsid w:val="442A5561"/>
    <w:rsid w:val="443F1622"/>
    <w:rsid w:val="4467501D"/>
    <w:rsid w:val="446C2633"/>
    <w:rsid w:val="44806830"/>
    <w:rsid w:val="44A3091C"/>
    <w:rsid w:val="44B34622"/>
    <w:rsid w:val="45240FFC"/>
    <w:rsid w:val="452B420A"/>
    <w:rsid w:val="45457B1F"/>
    <w:rsid w:val="45485D39"/>
    <w:rsid w:val="46753ABF"/>
    <w:rsid w:val="46AE6930"/>
    <w:rsid w:val="47121B89"/>
    <w:rsid w:val="471465EF"/>
    <w:rsid w:val="473A4323"/>
    <w:rsid w:val="476A10AC"/>
    <w:rsid w:val="47D87E18"/>
    <w:rsid w:val="48405A16"/>
    <w:rsid w:val="48570948"/>
    <w:rsid w:val="48C4659A"/>
    <w:rsid w:val="48D32A07"/>
    <w:rsid w:val="48D55F0A"/>
    <w:rsid w:val="49553696"/>
    <w:rsid w:val="496557F9"/>
    <w:rsid w:val="49F16302"/>
    <w:rsid w:val="49FC7FB5"/>
    <w:rsid w:val="4A1043AB"/>
    <w:rsid w:val="4A8B1D58"/>
    <w:rsid w:val="4A952AA8"/>
    <w:rsid w:val="4ADE57B4"/>
    <w:rsid w:val="4AF30483"/>
    <w:rsid w:val="4B1367B9"/>
    <w:rsid w:val="4B797B0F"/>
    <w:rsid w:val="4C2D2789"/>
    <w:rsid w:val="4C3457E4"/>
    <w:rsid w:val="4C93212D"/>
    <w:rsid w:val="4CC90409"/>
    <w:rsid w:val="4CE93644"/>
    <w:rsid w:val="4CEA1D09"/>
    <w:rsid w:val="4DF44B31"/>
    <w:rsid w:val="4E85323E"/>
    <w:rsid w:val="4EAC6020"/>
    <w:rsid w:val="4EB46CAF"/>
    <w:rsid w:val="4F4971A3"/>
    <w:rsid w:val="4F5706B7"/>
    <w:rsid w:val="4F6D7A4C"/>
    <w:rsid w:val="4F9C201E"/>
    <w:rsid w:val="50406E4E"/>
    <w:rsid w:val="50551061"/>
    <w:rsid w:val="506F07E9"/>
    <w:rsid w:val="50AC194C"/>
    <w:rsid w:val="50C8299F"/>
    <w:rsid w:val="5166513F"/>
    <w:rsid w:val="518E3B5A"/>
    <w:rsid w:val="51AD764B"/>
    <w:rsid w:val="51B82A14"/>
    <w:rsid w:val="51DC4954"/>
    <w:rsid w:val="521C7446"/>
    <w:rsid w:val="5252299E"/>
    <w:rsid w:val="52553170"/>
    <w:rsid w:val="52635075"/>
    <w:rsid w:val="52842DDA"/>
    <w:rsid w:val="53776EFD"/>
    <w:rsid w:val="5394125E"/>
    <w:rsid w:val="53F965FE"/>
    <w:rsid w:val="54064A44"/>
    <w:rsid w:val="540F2D78"/>
    <w:rsid w:val="54135C87"/>
    <w:rsid w:val="54520897"/>
    <w:rsid w:val="554A487A"/>
    <w:rsid w:val="554D74D6"/>
    <w:rsid w:val="55563F10"/>
    <w:rsid w:val="558D22AF"/>
    <w:rsid w:val="559B337F"/>
    <w:rsid w:val="55A171A1"/>
    <w:rsid w:val="55E118F5"/>
    <w:rsid w:val="55E4287A"/>
    <w:rsid w:val="55FB249F"/>
    <w:rsid w:val="55FC469E"/>
    <w:rsid w:val="562D06F0"/>
    <w:rsid w:val="56FD3805"/>
    <w:rsid w:val="570B5142"/>
    <w:rsid w:val="573324F3"/>
    <w:rsid w:val="57342B3C"/>
    <w:rsid w:val="578909AC"/>
    <w:rsid w:val="57AB24A5"/>
    <w:rsid w:val="57BB2A1F"/>
    <w:rsid w:val="57CA0B13"/>
    <w:rsid w:val="57E60D46"/>
    <w:rsid w:val="57F55520"/>
    <w:rsid w:val="58712EA8"/>
    <w:rsid w:val="58CC04D1"/>
    <w:rsid w:val="59546271"/>
    <w:rsid w:val="59D41402"/>
    <w:rsid w:val="59D415AF"/>
    <w:rsid w:val="5A566D34"/>
    <w:rsid w:val="5A665BB4"/>
    <w:rsid w:val="5A7F7703"/>
    <w:rsid w:val="5AE045F6"/>
    <w:rsid w:val="5B0E1DA1"/>
    <w:rsid w:val="5B3D0A3D"/>
    <w:rsid w:val="5B455E49"/>
    <w:rsid w:val="5B615779"/>
    <w:rsid w:val="5BD34537"/>
    <w:rsid w:val="5BE05104"/>
    <w:rsid w:val="5BEF1728"/>
    <w:rsid w:val="5C494506"/>
    <w:rsid w:val="5C9E763C"/>
    <w:rsid w:val="5C9F2C03"/>
    <w:rsid w:val="5CF97119"/>
    <w:rsid w:val="5D851BFC"/>
    <w:rsid w:val="5DB239C4"/>
    <w:rsid w:val="5E162C78"/>
    <w:rsid w:val="5E9B7F50"/>
    <w:rsid w:val="5EA842DD"/>
    <w:rsid w:val="5ECB1034"/>
    <w:rsid w:val="5EF808F3"/>
    <w:rsid w:val="5F40475C"/>
    <w:rsid w:val="60327AC7"/>
    <w:rsid w:val="605E44F7"/>
    <w:rsid w:val="60651DD9"/>
    <w:rsid w:val="608B680F"/>
    <w:rsid w:val="609936C4"/>
    <w:rsid w:val="60DB1C40"/>
    <w:rsid w:val="613A550F"/>
    <w:rsid w:val="6198112C"/>
    <w:rsid w:val="61996BAE"/>
    <w:rsid w:val="61C60977"/>
    <w:rsid w:val="61E44162"/>
    <w:rsid w:val="620F4796"/>
    <w:rsid w:val="625A76CE"/>
    <w:rsid w:val="62912DE2"/>
    <w:rsid w:val="62990808"/>
    <w:rsid w:val="62DD5712"/>
    <w:rsid w:val="63546E84"/>
    <w:rsid w:val="6367429A"/>
    <w:rsid w:val="63FC4484"/>
    <w:rsid w:val="64047C42"/>
    <w:rsid w:val="64234664"/>
    <w:rsid w:val="64502F80"/>
    <w:rsid w:val="6502488D"/>
    <w:rsid w:val="651D7774"/>
    <w:rsid w:val="65755C04"/>
    <w:rsid w:val="65891022"/>
    <w:rsid w:val="65963FB2"/>
    <w:rsid w:val="65E01A30"/>
    <w:rsid w:val="65EF142B"/>
    <w:rsid w:val="65F869C6"/>
    <w:rsid w:val="663319D6"/>
    <w:rsid w:val="664856F2"/>
    <w:rsid w:val="665B4BFD"/>
    <w:rsid w:val="668C53CC"/>
    <w:rsid w:val="66A23F5A"/>
    <w:rsid w:val="66AA4BC9"/>
    <w:rsid w:val="66D1263E"/>
    <w:rsid w:val="66E71979"/>
    <w:rsid w:val="670B151E"/>
    <w:rsid w:val="678655E4"/>
    <w:rsid w:val="6788436B"/>
    <w:rsid w:val="67973300"/>
    <w:rsid w:val="67B72D91"/>
    <w:rsid w:val="67CE1C94"/>
    <w:rsid w:val="68270AEE"/>
    <w:rsid w:val="691B22B5"/>
    <w:rsid w:val="695D76A5"/>
    <w:rsid w:val="699D732F"/>
    <w:rsid w:val="69B97B02"/>
    <w:rsid w:val="69C266CE"/>
    <w:rsid w:val="69D71A62"/>
    <w:rsid w:val="6A8001CE"/>
    <w:rsid w:val="6B0E4BB1"/>
    <w:rsid w:val="6B421B88"/>
    <w:rsid w:val="6B562DA7"/>
    <w:rsid w:val="6B7C465A"/>
    <w:rsid w:val="6B873576"/>
    <w:rsid w:val="6BEA5819"/>
    <w:rsid w:val="6C7D060B"/>
    <w:rsid w:val="6D241DB5"/>
    <w:rsid w:val="6D9336A8"/>
    <w:rsid w:val="6DE318F2"/>
    <w:rsid w:val="6E0D7A9C"/>
    <w:rsid w:val="6EB34837"/>
    <w:rsid w:val="6EE83776"/>
    <w:rsid w:val="6F0331BA"/>
    <w:rsid w:val="6F1E67E4"/>
    <w:rsid w:val="6F2474E3"/>
    <w:rsid w:val="6F4E132A"/>
    <w:rsid w:val="6F5B51C0"/>
    <w:rsid w:val="6F813023"/>
    <w:rsid w:val="6FCE1A83"/>
    <w:rsid w:val="6FD12C00"/>
    <w:rsid w:val="6FF041BE"/>
    <w:rsid w:val="702E5103"/>
    <w:rsid w:val="706D2A7F"/>
    <w:rsid w:val="7073382E"/>
    <w:rsid w:val="70E275FB"/>
    <w:rsid w:val="7106498A"/>
    <w:rsid w:val="710F68B9"/>
    <w:rsid w:val="71493231"/>
    <w:rsid w:val="715D5C0A"/>
    <w:rsid w:val="719B7F30"/>
    <w:rsid w:val="71BC62F1"/>
    <w:rsid w:val="72294059"/>
    <w:rsid w:val="722E4900"/>
    <w:rsid w:val="723E10E3"/>
    <w:rsid w:val="72D74F98"/>
    <w:rsid w:val="73376251"/>
    <w:rsid w:val="74547E66"/>
    <w:rsid w:val="7455116B"/>
    <w:rsid w:val="7489018F"/>
    <w:rsid w:val="748B5DC2"/>
    <w:rsid w:val="74987675"/>
    <w:rsid w:val="74A451B2"/>
    <w:rsid w:val="750D091A"/>
    <w:rsid w:val="756D1BE3"/>
    <w:rsid w:val="75A2558A"/>
    <w:rsid w:val="75C116C2"/>
    <w:rsid w:val="75DD7938"/>
    <w:rsid w:val="76316C73"/>
    <w:rsid w:val="7641772F"/>
    <w:rsid w:val="76456D4A"/>
    <w:rsid w:val="765C023B"/>
    <w:rsid w:val="76963DF7"/>
    <w:rsid w:val="77651D73"/>
    <w:rsid w:val="777C4360"/>
    <w:rsid w:val="779654F9"/>
    <w:rsid w:val="77D00E68"/>
    <w:rsid w:val="77DF3E04"/>
    <w:rsid w:val="784D3606"/>
    <w:rsid w:val="785E7FB8"/>
    <w:rsid w:val="787C3AB9"/>
    <w:rsid w:val="78CD576C"/>
    <w:rsid w:val="78D87374"/>
    <w:rsid w:val="792E51E6"/>
    <w:rsid w:val="798B16F8"/>
    <w:rsid w:val="79E64B5E"/>
    <w:rsid w:val="7A275A70"/>
    <w:rsid w:val="7A554C39"/>
    <w:rsid w:val="7A842F2F"/>
    <w:rsid w:val="7A877F10"/>
    <w:rsid w:val="7AB80E65"/>
    <w:rsid w:val="7AD41939"/>
    <w:rsid w:val="7AF6674C"/>
    <w:rsid w:val="7B190AA7"/>
    <w:rsid w:val="7B8437E3"/>
    <w:rsid w:val="7BD13B30"/>
    <w:rsid w:val="7BD328B6"/>
    <w:rsid w:val="7BD37033"/>
    <w:rsid w:val="7BDE0C48"/>
    <w:rsid w:val="7C106E98"/>
    <w:rsid w:val="7C405469"/>
    <w:rsid w:val="7C4A5D24"/>
    <w:rsid w:val="7C7F54EB"/>
    <w:rsid w:val="7C8512A1"/>
    <w:rsid w:val="7D567401"/>
    <w:rsid w:val="7D7D673C"/>
    <w:rsid w:val="7DC477E3"/>
    <w:rsid w:val="7DC6656A"/>
    <w:rsid w:val="7E3F04EE"/>
    <w:rsid w:val="7E755E7F"/>
    <w:rsid w:val="7EA34C53"/>
    <w:rsid w:val="7F294B2C"/>
    <w:rsid w:val="7FBF3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iPriority="99" w:semiHidden="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left" w:pos="420"/>
      </w:tabs>
    </w:pPr>
    <w:rPr>
      <w:rFonts w:ascii="Calibri" w:hAnsi="Calibri" w:eastAsia="宋体" w:cs="Times New Roman"/>
      <w:sz w:val="21"/>
      <w:lang w:val="en-US" w:eastAsia="zh-CN" w:bidi="ar-SA"/>
    </w:rPr>
  </w:style>
  <w:style w:type="paragraph" w:styleId="2">
    <w:name w:val="heading 1"/>
    <w:basedOn w:val="1"/>
    <w:next w:val="1"/>
    <w:qFormat/>
    <w:uiPriority w:val="0"/>
    <w:pPr>
      <w:keepNext/>
      <w:keepLines/>
      <w:spacing w:before="340" w:after="330" w:line="578" w:lineRule="auto"/>
      <w:outlineLvl w:val="0"/>
    </w:pPr>
    <w:rPr>
      <w:kern w:val="44"/>
      <w:sz w:val="24"/>
      <w:szCs w:val="4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ind w:left="2520"/>
    </w:pPr>
  </w:style>
  <w:style w:type="paragraph" w:styleId="4">
    <w:name w:val="annotation text"/>
    <w:basedOn w:val="1"/>
    <w:link w:val="49"/>
    <w:unhideWhenUsed/>
    <w:qFormat/>
    <w:uiPriority w:val="99"/>
  </w:style>
  <w:style w:type="paragraph" w:styleId="5">
    <w:name w:val="Body Text"/>
    <w:basedOn w:val="1"/>
    <w:unhideWhenUsed/>
    <w:qFormat/>
    <w:uiPriority w:val="99"/>
    <w:pPr>
      <w:ind w:left="920" w:right="1263"/>
    </w:pPr>
    <w:rPr>
      <w:sz w:val="28"/>
      <w:szCs w:val="28"/>
    </w:rPr>
  </w:style>
  <w:style w:type="paragraph" w:styleId="6">
    <w:name w:val="toc 5"/>
    <w:basedOn w:val="1"/>
    <w:next w:val="1"/>
    <w:unhideWhenUsed/>
    <w:qFormat/>
    <w:uiPriority w:val="39"/>
    <w:pPr>
      <w:ind w:left="1680"/>
    </w:pPr>
  </w:style>
  <w:style w:type="paragraph" w:styleId="7">
    <w:name w:val="toc 3"/>
    <w:basedOn w:val="1"/>
    <w:next w:val="1"/>
    <w:unhideWhenUsed/>
    <w:qFormat/>
    <w:uiPriority w:val="39"/>
    <w:pPr>
      <w:ind w:left="840"/>
    </w:pPr>
  </w:style>
  <w:style w:type="paragraph" w:styleId="8">
    <w:name w:val="toc 8"/>
    <w:basedOn w:val="1"/>
    <w:next w:val="1"/>
    <w:unhideWhenUsed/>
    <w:qFormat/>
    <w:uiPriority w:val="39"/>
    <w:pPr>
      <w:ind w:left="2940"/>
    </w:pPr>
  </w:style>
  <w:style w:type="paragraph" w:styleId="9">
    <w:name w:val="Balloon Text"/>
    <w:basedOn w:val="1"/>
    <w:link w:val="48"/>
    <w:unhideWhenUsed/>
    <w:qFormat/>
    <w:uiPriority w:val="99"/>
    <w:rPr>
      <w:sz w:val="18"/>
      <w:szCs w:val="18"/>
    </w:rPr>
  </w:style>
  <w:style w:type="paragraph" w:styleId="10">
    <w:name w:val="footer"/>
    <w:basedOn w:val="1"/>
    <w:unhideWhenUsed/>
    <w:qFormat/>
    <w:uiPriority w:val="0"/>
    <w:pPr>
      <w:tabs>
        <w:tab w:val="center" w:pos="4153"/>
        <w:tab w:val="right" w:pos="8306"/>
        <w:tab w:val="clear" w:pos="420"/>
      </w:tabs>
      <w:snapToGrid w:val="0"/>
    </w:pPr>
    <w:rPr>
      <w:sz w:val="18"/>
      <w:szCs w:val="18"/>
    </w:rPr>
  </w:style>
  <w:style w:type="paragraph" w:styleId="11">
    <w:name w:val="header"/>
    <w:basedOn w:val="1"/>
    <w:unhideWhenUsed/>
    <w:qFormat/>
    <w:uiPriority w:val="0"/>
    <w:pPr>
      <w:pBdr>
        <w:bottom w:val="single" w:color="auto" w:sz="6" w:space="1"/>
      </w:pBdr>
      <w:tabs>
        <w:tab w:val="center" w:pos="4153"/>
        <w:tab w:val="right" w:pos="8306"/>
        <w:tab w:val="clear" w:pos="420"/>
      </w:tabs>
      <w:snapToGrid w:val="0"/>
      <w:jc w:val="center"/>
    </w:pPr>
    <w:rPr>
      <w:sz w:val="18"/>
      <w:szCs w:val="18"/>
    </w:rPr>
  </w:style>
  <w:style w:type="paragraph" w:styleId="12">
    <w:name w:val="toc 1"/>
    <w:basedOn w:val="1"/>
    <w:next w:val="1"/>
    <w:unhideWhenUsed/>
    <w:qFormat/>
    <w:uiPriority w:val="39"/>
  </w:style>
  <w:style w:type="paragraph" w:styleId="13">
    <w:name w:val="toc 4"/>
    <w:basedOn w:val="1"/>
    <w:next w:val="1"/>
    <w:unhideWhenUsed/>
    <w:qFormat/>
    <w:uiPriority w:val="39"/>
    <w:pPr>
      <w:ind w:left="1260"/>
    </w:pPr>
  </w:style>
  <w:style w:type="paragraph" w:styleId="14">
    <w:name w:val="Subtitle"/>
    <w:basedOn w:val="1"/>
    <w:qFormat/>
    <w:uiPriority w:val="0"/>
    <w:rPr>
      <w:i/>
      <w:color w:val="4F81BD"/>
      <w:sz w:val="24"/>
    </w:rPr>
  </w:style>
  <w:style w:type="paragraph" w:styleId="15">
    <w:name w:val="toc 6"/>
    <w:basedOn w:val="1"/>
    <w:next w:val="1"/>
    <w:unhideWhenUsed/>
    <w:qFormat/>
    <w:uiPriority w:val="39"/>
    <w:pPr>
      <w:ind w:left="2100"/>
    </w:pPr>
  </w:style>
  <w:style w:type="paragraph" w:styleId="16">
    <w:name w:val="toc 2"/>
    <w:basedOn w:val="1"/>
    <w:next w:val="1"/>
    <w:unhideWhenUsed/>
    <w:qFormat/>
    <w:uiPriority w:val="39"/>
    <w:pPr>
      <w:ind w:left="420"/>
    </w:pPr>
  </w:style>
  <w:style w:type="paragraph" w:styleId="17">
    <w:name w:val="toc 9"/>
    <w:basedOn w:val="1"/>
    <w:next w:val="1"/>
    <w:unhideWhenUsed/>
    <w:qFormat/>
    <w:uiPriority w:val="39"/>
    <w:pPr>
      <w:ind w:left="3360"/>
    </w:pPr>
  </w:style>
  <w:style w:type="paragraph" w:styleId="18">
    <w:name w:val="Normal (Web)"/>
    <w:basedOn w:val="1"/>
    <w:unhideWhenUsed/>
    <w:qFormat/>
    <w:uiPriority w:val="99"/>
    <w:pPr>
      <w:adjustRightInd w:val="0"/>
      <w:spacing w:line="312" w:lineRule="atLeast"/>
      <w:textAlignment w:val="baseline"/>
    </w:pPr>
    <w:rPr>
      <w:rFonts w:ascii="宋体" w:hAnsi="宋体" w:cs="宋体"/>
      <w:sz w:val="24"/>
    </w:rPr>
  </w:style>
  <w:style w:type="paragraph" w:styleId="19">
    <w:name w:val="Title"/>
    <w:basedOn w:val="1"/>
    <w:qFormat/>
    <w:uiPriority w:val="0"/>
    <w:pPr>
      <w:spacing w:after="300"/>
    </w:pPr>
    <w:rPr>
      <w:color w:val="17365D"/>
      <w:sz w:val="52"/>
    </w:rPr>
  </w:style>
  <w:style w:type="paragraph" w:styleId="20">
    <w:name w:val="annotation subject"/>
    <w:basedOn w:val="4"/>
    <w:next w:val="4"/>
    <w:link w:val="50"/>
    <w:unhideWhenUsed/>
    <w:qFormat/>
    <w:uiPriority w:val="99"/>
    <w:rPr>
      <w:b/>
      <w:bCs/>
    </w:rPr>
  </w:style>
  <w:style w:type="table" w:styleId="22">
    <w:name w:val="Table Grid"/>
    <w:basedOn w:val="21"/>
    <w:qFormat/>
    <w:uiPriority w:val="59"/>
    <w:pPr>
      <w:tabs>
        <w:tab w:val="left" w:pos="420"/>
      </w:tab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nhideWhenUsed/>
    <w:qFormat/>
    <w:uiPriority w:val="99"/>
    <w:rPr>
      <w:color w:val="0000FF"/>
      <w:u w:val="single"/>
    </w:rPr>
  </w:style>
  <w:style w:type="character" w:styleId="25">
    <w:name w:val="annotation reference"/>
    <w:basedOn w:val="23"/>
    <w:unhideWhenUsed/>
    <w:qFormat/>
    <w:uiPriority w:val="99"/>
    <w:rPr>
      <w:sz w:val="21"/>
      <w:szCs w:val="21"/>
    </w:rPr>
  </w:style>
  <w:style w:type="paragraph" w:customStyle="1" w:styleId="26">
    <w:name w:val="标题 11"/>
    <w:basedOn w:val="1"/>
    <w:next w:val="1"/>
    <w:link w:val="47"/>
    <w:qFormat/>
    <w:uiPriority w:val="9"/>
    <w:pPr>
      <w:keepNext/>
      <w:keepLines/>
      <w:spacing w:before="340" w:after="330" w:line="576" w:lineRule="auto"/>
      <w:outlineLvl w:val="0"/>
    </w:pPr>
    <w:rPr>
      <w:b/>
      <w:kern w:val="44"/>
      <w:sz w:val="44"/>
    </w:rPr>
  </w:style>
  <w:style w:type="paragraph" w:customStyle="1" w:styleId="27">
    <w:name w:val="标题 21"/>
    <w:basedOn w:val="1"/>
    <w:next w:val="1"/>
    <w:qFormat/>
    <w:uiPriority w:val="9"/>
    <w:pPr>
      <w:keepNext/>
      <w:keepLines/>
      <w:spacing w:before="260" w:after="260" w:line="413" w:lineRule="auto"/>
      <w:outlineLvl w:val="1"/>
    </w:pPr>
    <w:rPr>
      <w:rFonts w:ascii="Arial" w:hAnsi="Arial" w:eastAsia="黑体"/>
      <w:b/>
      <w:sz w:val="32"/>
    </w:rPr>
  </w:style>
  <w:style w:type="paragraph" w:customStyle="1" w:styleId="28">
    <w:name w:val="标题 31"/>
    <w:basedOn w:val="1"/>
    <w:next w:val="1"/>
    <w:qFormat/>
    <w:uiPriority w:val="9"/>
    <w:pPr>
      <w:keepNext/>
      <w:keepLines/>
      <w:spacing w:before="260" w:after="260" w:line="413" w:lineRule="auto"/>
      <w:outlineLvl w:val="2"/>
    </w:pPr>
    <w:rPr>
      <w:b/>
      <w:sz w:val="32"/>
    </w:rPr>
  </w:style>
  <w:style w:type="paragraph" w:customStyle="1" w:styleId="29">
    <w:name w:val="标题 41"/>
    <w:basedOn w:val="1"/>
    <w:next w:val="1"/>
    <w:qFormat/>
    <w:uiPriority w:val="9"/>
    <w:pPr>
      <w:keepNext/>
      <w:spacing w:before="240" w:after="60"/>
      <w:outlineLvl w:val="3"/>
    </w:pPr>
    <w:rPr>
      <w:b/>
      <w:bCs/>
      <w:sz w:val="28"/>
      <w:szCs w:val="28"/>
    </w:rPr>
  </w:style>
  <w:style w:type="paragraph" w:customStyle="1" w:styleId="30">
    <w:name w:val="列表段落1"/>
    <w:basedOn w:val="1"/>
    <w:qFormat/>
    <w:uiPriority w:val="34"/>
    <w:pPr>
      <w:ind w:firstLine="420"/>
    </w:pPr>
  </w:style>
  <w:style w:type="paragraph" w:customStyle="1" w:styleId="31">
    <w:name w:val="WPSOffice手动目录 1"/>
    <w:qFormat/>
    <w:uiPriority w:val="0"/>
    <w:rPr>
      <w:rFonts w:ascii="Calibri" w:hAnsi="Calibri" w:eastAsia="Calibri" w:cs="Times New Roman"/>
      <w:lang w:val="en-US" w:eastAsia="zh-CN" w:bidi="ar-SA"/>
    </w:rPr>
  </w:style>
  <w:style w:type="paragraph" w:customStyle="1" w:styleId="32">
    <w:name w:val="WPSOffice手动目录 2"/>
    <w:qFormat/>
    <w:uiPriority w:val="0"/>
    <w:rPr>
      <w:rFonts w:ascii="Calibri" w:hAnsi="Calibri" w:eastAsia="Calibri" w:cs="Times New Roman"/>
      <w:lang w:val="en-US" w:eastAsia="zh-CN" w:bidi="ar-SA"/>
    </w:rPr>
  </w:style>
  <w:style w:type="paragraph" w:customStyle="1" w:styleId="33">
    <w:name w:val="Heading 11"/>
    <w:basedOn w:val="1"/>
    <w:qFormat/>
    <w:uiPriority w:val="0"/>
    <w:pPr>
      <w:spacing w:before="480"/>
    </w:pPr>
    <w:rPr>
      <w:b/>
      <w:color w:val="345A8A"/>
      <w:sz w:val="32"/>
    </w:rPr>
  </w:style>
  <w:style w:type="paragraph" w:customStyle="1" w:styleId="34">
    <w:name w:val="Heading 21"/>
    <w:basedOn w:val="1"/>
    <w:qFormat/>
    <w:uiPriority w:val="0"/>
    <w:pPr>
      <w:spacing w:before="200"/>
    </w:pPr>
    <w:rPr>
      <w:b/>
      <w:color w:val="4F81BD"/>
      <w:sz w:val="26"/>
    </w:rPr>
  </w:style>
  <w:style w:type="paragraph" w:customStyle="1" w:styleId="35">
    <w:name w:val="Heading 31"/>
    <w:basedOn w:val="1"/>
    <w:qFormat/>
    <w:uiPriority w:val="0"/>
    <w:pPr>
      <w:spacing w:before="200"/>
    </w:pPr>
    <w:rPr>
      <w:b/>
      <w:color w:val="4F81BD"/>
      <w:sz w:val="24"/>
    </w:rPr>
  </w:style>
  <w:style w:type="paragraph" w:customStyle="1" w:styleId="36">
    <w:name w:val="修订1"/>
    <w:hidden/>
    <w:semiHidden/>
    <w:qFormat/>
    <w:uiPriority w:val="99"/>
    <w:rPr>
      <w:rFonts w:ascii="Calibri" w:hAnsi="Calibri" w:eastAsia="Calibri" w:cs="Times New Roman"/>
      <w:lang w:val="en-US" w:eastAsia="zh-CN" w:bidi="ar-SA"/>
    </w:rPr>
  </w:style>
  <w:style w:type="paragraph" w:customStyle="1" w:styleId="37">
    <w:name w:val="标题1"/>
    <w:basedOn w:val="1"/>
    <w:qFormat/>
    <w:uiPriority w:val="0"/>
    <w:pPr>
      <w:snapToGrid w:val="0"/>
      <w:spacing w:before="240" w:beforeLines="100" w:after="240" w:afterLines="100"/>
    </w:pPr>
    <w:rPr>
      <w:rFonts w:ascii="黑体" w:hAnsi="黑体" w:eastAsia="黑体" w:cs="黑体"/>
      <w:color w:val="000000"/>
      <w:sz w:val="32"/>
      <w:szCs w:val="32"/>
    </w:rPr>
  </w:style>
  <w:style w:type="paragraph" w:customStyle="1" w:styleId="38">
    <w:name w:val="_Style 4"/>
    <w:basedOn w:val="1"/>
    <w:qFormat/>
    <w:uiPriority w:val="0"/>
    <w:pPr>
      <w:ind w:firstLine="420" w:firstLineChars="200"/>
    </w:pPr>
    <w:rPr>
      <w:kern w:val="2"/>
      <w:szCs w:val="22"/>
    </w:rPr>
  </w:style>
  <w:style w:type="paragraph" w:customStyle="1" w:styleId="39">
    <w:name w:val="中文2级标题"/>
    <w:basedOn w:val="1"/>
    <w:next w:val="1"/>
    <w:qFormat/>
    <w:uiPriority w:val="0"/>
    <w:pPr>
      <w:keepNext/>
      <w:keepLines/>
      <w:adjustRightInd w:val="0"/>
      <w:snapToGrid w:val="0"/>
      <w:spacing w:beforeLines="50" w:afterLines="50"/>
      <w:outlineLvl w:val="1"/>
    </w:pPr>
    <w:rPr>
      <w:rFonts w:hint="eastAsia" w:ascii="黑体" w:hAnsi="黑体" w:eastAsia="黑体" w:cs="宋体"/>
      <w:color w:val="000000"/>
    </w:rPr>
  </w:style>
  <w:style w:type="paragraph" w:customStyle="1" w:styleId="40">
    <w:name w:val="修订2"/>
    <w:hidden/>
    <w:semiHidden/>
    <w:qFormat/>
    <w:uiPriority w:val="99"/>
    <w:rPr>
      <w:rFonts w:ascii="Calibri" w:hAnsi="Calibri" w:eastAsia="Calibri" w:cs="Times New Roman"/>
      <w:lang w:val="en-US" w:eastAsia="zh-CN" w:bidi="ar-SA"/>
    </w:rPr>
  </w:style>
  <w:style w:type="paragraph" w:customStyle="1" w:styleId="4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
    <w:name w:val="样式 标题 1 + 黑体 加粗 段前: 自动"/>
    <w:basedOn w:val="2"/>
    <w:qFormat/>
    <w:uiPriority w:val="0"/>
    <w:pPr>
      <w:widowControl w:val="0"/>
      <w:adjustRightInd w:val="0"/>
      <w:snapToGrid w:val="0"/>
      <w:spacing w:before="120" w:after="120" w:line="240" w:lineRule="auto"/>
      <w:jc w:val="center"/>
    </w:pPr>
    <w:rPr>
      <w:rFonts w:ascii="黑体" w:hAnsi="黑体" w:eastAsia="黑体" w:cs="宋体"/>
      <w:kern w:val="2"/>
      <w:sz w:val="21"/>
      <w:szCs w:val="20"/>
    </w:rPr>
  </w:style>
  <w:style w:type="paragraph" w:customStyle="1" w:styleId="44">
    <w:name w:val="英文1级标题"/>
    <w:basedOn w:val="1"/>
    <w:qFormat/>
    <w:uiPriority w:val="0"/>
    <w:pPr>
      <w:keepNext/>
      <w:keepLines/>
      <w:numPr>
        <w:ilvl w:val="0"/>
        <w:numId w:val="1"/>
      </w:numPr>
      <w:adjustRightInd w:val="0"/>
      <w:snapToGrid w:val="0"/>
      <w:spacing w:before="50" w:beforeLines="50" w:after="50" w:afterLines="50"/>
      <w:outlineLvl w:val="0"/>
    </w:pPr>
    <w:rPr>
      <w:rFonts w:hint="eastAsia" w:eastAsia="Times New Roman"/>
      <w:caps/>
      <w:color w:val="000000"/>
    </w:rPr>
  </w:style>
  <w:style w:type="paragraph" w:customStyle="1" w:styleId="45">
    <w:name w:val="一级标题 黑体5号加粗"/>
    <w:basedOn w:val="1"/>
    <w:link w:val="62"/>
    <w:qFormat/>
    <w:uiPriority w:val="0"/>
    <w:pPr>
      <w:keepNext/>
      <w:keepLines/>
      <w:widowControl w:val="0"/>
      <w:adjustRightInd w:val="0"/>
      <w:snapToGrid w:val="0"/>
      <w:spacing w:before="50" w:beforeLines="50" w:after="50" w:afterLines="50"/>
      <w:jc w:val="both"/>
    </w:pPr>
    <w:rPr>
      <w:rFonts w:hint="eastAsia" w:ascii="黑体" w:hAnsi="黑体" w:eastAsia="黑体" w:cs="宋体"/>
      <w:bCs/>
      <w:kern w:val="2"/>
      <w:szCs w:val="21"/>
    </w:rPr>
  </w:style>
  <w:style w:type="paragraph" w:customStyle="1" w:styleId="46">
    <w:name w:val="制度  英文1级标题"/>
    <w:basedOn w:val="1"/>
    <w:qFormat/>
    <w:uiPriority w:val="0"/>
    <w:pPr>
      <w:keepNext/>
      <w:keepLines/>
      <w:tabs>
        <w:tab w:val="left" w:pos="211"/>
        <w:tab w:val="clear" w:pos="420"/>
      </w:tabs>
      <w:adjustRightInd w:val="0"/>
      <w:snapToGrid w:val="0"/>
      <w:spacing w:before="50" w:beforeLines="50" w:after="50" w:afterLines="50"/>
      <w:jc w:val="both"/>
    </w:pPr>
    <w:rPr>
      <w:rFonts w:hint="eastAsia" w:ascii="Times New Roman" w:hAnsi="Times New Roman" w:eastAsia="Times New Roman"/>
      <w:b/>
      <w:bCs/>
      <w:caps/>
      <w:smallCaps/>
      <w:color w:val="000000"/>
      <w:szCs w:val="21"/>
    </w:rPr>
  </w:style>
  <w:style w:type="character" w:customStyle="1" w:styleId="47">
    <w:name w:val="标题 1 Char"/>
    <w:link w:val="26"/>
    <w:qFormat/>
    <w:uiPriority w:val="0"/>
    <w:rPr>
      <w:b/>
      <w:kern w:val="44"/>
      <w:sz w:val="44"/>
    </w:rPr>
  </w:style>
  <w:style w:type="character" w:customStyle="1" w:styleId="48">
    <w:name w:val="批注框文本 字符"/>
    <w:link w:val="9"/>
    <w:semiHidden/>
    <w:qFormat/>
    <w:uiPriority w:val="99"/>
    <w:rPr>
      <w:kern w:val="2"/>
      <w:sz w:val="18"/>
      <w:szCs w:val="18"/>
    </w:rPr>
  </w:style>
  <w:style w:type="character" w:customStyle="1" w:styleId="49">
    <w:name w:val="批注文字 字符"/>
    <w:basedOn w:val="23"/>
    <w:link w:val="4"/>
    <w:qFormat/>
    <w:uiPriority w:val="99"/>
    <w:rPr>
      <w:rFonts w:eastAsia="Calibri" w:cs="Times New Roman"/>
    </w:rPr>
  </w:style>
  <w:style w:type="character" w:customStyle="1" w:styleId="50">
    <w:name w:val="批注主题 字符"/>
    <w:basedOn w:val="49"/>
    <w:link w:val="20"/>
    <w:semiHidden/>
    <w:qFormat/>
    <w:uiPriority w:val="99"/>
    <w:rPr>
      <w:rFonts w:eastAsia="Calibri" w:cs="Times New Roman"/>
      <w:b/>
      <w:bCs/>
    </w:rPr>
  </w:style>
  <w:style w:type="character" w:customStyle="1" w:styleId="51">
    <w:name w:val="apple-style-span"/>
    <w:basedOn w:val="23"/>
    <w:qFormat/>
    <w:uiPriority w:val="0"/>
  </w:style>
  <w:style w:type="character" w:customStyle="1" w:styleId="52">
    <w:name w:val="font41"/>
    <w:basedOn w:val="23"/>
    <w:qFormat/>
    <w:uiPriority w:val="0"/>
    <w:rPr>
      <w:rFonts w:hint="eastAsia" w:ascii="宋体" w:hAnsi="宋体" w:eastAsia="宋体" w:cs="宋体"/>
      <w:color w:val="000000"/>
      <w:sz w:val="20"/>
      <w:szCs w:val="20"/>
      <w:u w:val="none"/>
    </w:rPr>
  </w:style>
  <w:style w:type="character" w:customStyle="1" w:styleId="53">
    <w:name w:val="font11"/>
    <w:basedOn w:val="23"/>
    <w:qFormat/>
    <w:uiPriority w:val="0"/>
    <w:rPr>
      <w:rFonts w:ascii="仿宋" w:hAnsi="仿宋" w:eastAsia="仿宋" w:cs="仿宋"/>
      <w:color w:val="000000"/>
      <w:sz w:val="22"/>
      <w:szCs w:val="22"/>
      <w:u w:val="none"/>
      <w:vertAlign w:val="subscript"/>
    </w:rPr>
  </w:style>
  <w:style w:type="character" w:customStyle="1" w:styleId="54">
    <w:name w:val="font31"/>
    <w:basedOn w:val="23"/>
    <w:qFormat/>
    <w:uiPriority w:val="0"/>
    <w:rPr>
      <w:rFonts w:hint="eastAsia" w:ascii="仿宋" w:hAnsi="仿宋" w:eastAsia="仿宋" w:cs="仿宋"/>
      <w:color w:val="000000"/>
      <w:sz w:val="22"/>
      <w:szCs w:val="22"/>
      <w:u w:val="none"/>
    </w:rPr>
  </w:style>
  <w:style w:type="character" w:customStyle="1" w:styleId="55">
    <w:name w:val="font51"/>
    <w:basedOn w:val="23"/>
    <w:qFormat/>
    <w:uiPriority w:val="0"/>
    <w:rPr>
      <w:rFonts w:hint="eastAsia" w:ascii="宋体" w:hAnsi="宋体" w:eastAsia="宋体" w:cs="宋体"/>
      <w:color w:val="000000"/>
      <w:sz w:val="20"/>
      <w:szCs w:val="20"/>
      <w:u w:val="none"/>
    </w:rPr>
  </w:style>
  <w:style w:type="character" w:customStyle="1" w:styleId="56">
    <w:name w:val="font91"/>
    <w:basedOn w:val="23"/>
    <w:qFormat/>
    <w:uiPriority w:val="0"/>
    <w:rPr>
      <w:rFonts w:hint="eastAsia" w:ascii="仿宋" w:hAnsi="仿宋" w:eastAsia="仿宋" w:cs="仿宋"/>
      <w:color w:val="FF0000"/>
      <w:sz w:val="22"/>
      <w:szCs w:val="22"/>
      <w:u w:val="none"/>
      <w:vertAlign w:val="subscript"/>
    </w:rPr>
  </w:style>
  <w:style w:type="character" w:customStyle="1" w:styleId="57">
    <w:name w:val="font21"/>
    <w:basedOn w:val="23"/>
    <w:qFormat/>
    <w:uiPriority w:val="0"/>
    <w:rPr>
      <w:rFonts w:hint="eastAsia" w:ascii="宋体" w:hAnsi="宋体" w:eastAsia="宋体" w:cs="宋体"/>
      <w:color w:val="FF0000"/>
      <w:sz w:val="20"/>
      <w:szCs w:val="20"/>
      <w:u w:val="none"/>
    </w:rPr>
  </w:style>
  <w:style w:type="character" w:customStyle="1" w:styleId="58">
    <w:name w:val="font101"/>
    <w:basedOn w:val="23"/>
    <w:qFormat/>
    <w:uiPriority w:val="0"/>
    <w:rPr>
      <w:rFonts w:ascii="Arial" w:hAnsi="Arial" w:cs="Arial"/>
      <w:color w:val="FF0000"/>
      <w:sz w:val="20"/>
      <w:szCs w:val="20"/>
      <w:u w:val="none"/>
    </w:rPr>
  </w:style>
  <w:style w:type="character" w:customStyle="1" w:styleId="59">
    <w:name w:val="font81"/>
    <w:basedOn w:val="23"/>
    <w:qFormat/>
    <w:uiPriority w:val="0"/>
    <w:rPr>
      <w:rFonts w:hint="eastAsia" w:ascii="宋体" w:hAnsi="宋体" w:eastAsia="宋体" w:cs="宋体"/>
      <w:color w:val="000000"/>
      <w:sz w:val="20"/>
      <w:szCs w:val="20"/>
      <w:u w:val="none"/>
    </w:rPr>
  </w:style>
  <w:style w:type="character" w:customStyle="1" w:styleId="60">
    <w:name w:val="font71"/>
    <w:basedOn w:val="23"/>
    <w:qFormat/>
    <w:uiPriority w:val="0"/>
    <w:rPr>
      <w:rFonts w:hint="eastAsia" w:ascii="仿宋" w:hAnsi="仿宋" w:eastAsia="仿宋" w:cs="仿宋"/>
      <w:color w:val="000000"/>
      <w:sz w:val="22"/>
      <w:szCs w:val="22"/>
      <w:u w:val="none"/>
      <w:vertAlign w:val="subscript"/>
    </w:rPr>
  </w:style>
  <w:style w:type="character" w:customStyle="1" w:styleId="61">
    <w:name w:val="font61"/>
    <w:basedOn w:val="23"/>
    <w:qFormat/>
    <w:uiPriority w:val="0"/>
    <w:rPr>
      <w:rFonts w:hint="eastAsia" w:ascii="仿宋" w:hAnsi="仿宋" w:eastAsia="仿宋" w:cs="仿宋"/>
      <w:color w:val="000000"/>
      <w:sz w:val="22"/>
      <w:szCs w:val="22"/>
      <w:u w:val="none"/>
    </w:rPr>
  </w:style>
  <w:style w:type="character" w:customStyle="1" w:styleId="62">
    <w:name w:val="一级标题 黑体5号加粗 Char"/>
    <w:link w:val="45"/>
    <w:qFormat/>
    <w:uiPriority w:val="0"/>
    <w:rPr>
      <w:rFonts w:hint="eastAsia" w:ascii="黑体" w:hAnsi="黑体" w:eastAsia="黑体" w:cs="宋体"/>
      <w:bCs/>
      <w:kern w:val="2"/>
      <w:sz w:val="21"/>
      <w:szCs w:val="21"/>
    </w:rPr>
  </w:style>
  <w:style w:type="character" w:customStyle="1" w:styleId="63">
    <w:name w:val="font01"/>
    <w:basedOn w:val="23"/>
    <w:qFormat/>
    <w:uiPriority w:val="0"/>
    <w:rPr>
      <w:rFonts w:hint="eastAsia" w:ascii="宋体" w:hAnsi="宋体" w:eastAsia="宋体" w:cs="宋体"/>
      <w:color w:val="000000"/>
      <w:sz w:val="15"/>
      <w:szCs w:val="15"/>
      <w:u w:val="none"/>
      <w:vertAlign w:val="subscript"/>
    </w:rPr>
  </w:style>
  <w:style w:type="table" w:customStyle="1" w:styleId="64">
    <w:name w:val="Table Normal"/>
    <w:unhideWhenUsed/>
    <w:qFormat/>
    <w:uiPriority w:val="0"/>
    <w:tblPr>
      <w:tblCellMar>
        <w:top w:w="0" w:type="dxa"/>
        <w:left w:w="0" w:type="dxa"/>
        <w:bottom w:w="0" w:type="dxa"/>
        <w:right w:w="0" w:type="dxa"/>
      </w:tblCellMar>
    </w:tblPr>
  </w:style>
  <w:style w:type="paragraph" w:customStyle="1" w:styleId="65">
    <w:name w:val="样式标题"/>
    <w:basedOn w:val="1"/>
    <w:link w:val="67"/>
    <w:qFormat/>
    <w:uiPriority w:val="0"/>
    <w:pPr>
      <w:tabs>
        <w:tab w:val="right" w:pos="9070"/>
        <w:tab w:val="clear" w:pos="420"/>
      </w:tabs>
      <w:spacing w:before="640" w:after="120" w:line="300" w:lineRule="auto"/>
      <w:jc w:val="center"/>
    </w:pPr>
    <w:rPr>
      <w:rFonts w:hint="eastAsia" w:ascii="黑体" w:hAnsi="黑体" w:eastAsia="黑体" w:cs="黑体"/>
      <w:color w:val="000000"/>
      <w:sz w:val="32"/>
      <w:szCs w:val="32"/>
    </w:rPr>
  </w:style>
  <w:style w:type="paragraph" w:customStyle="1" w:styleId="66">
    <w:name w:val="样式1"/>
    <w:basedOn w:val="1"/>
    <w:qFormat/>
    <w:uiPriority w:val="0"/>
    <w:pPr>
      <w:tabs>
        <w:tab w:val="right" w:pos="9070"/>
        <w:tab w:val="clear" w:pos="420"/>
      </w:tabs>
      <w:spacing w:before="640" w:after="120" w:line="300" w:lineRule="auto"/>
      <w:jc w:val="center"/>
    </w:pPr>
    <w:rPr>
      <w:rFonts w:hint="eastAsia" w:ascii="黑体" w:hAnsi="黑体" w:eastAsia="黑体" w:cs="黑体"/>
      <w:color w:val="000000"/>
      <w:sz w:val="32"/>
      <w:szCs w:val="32"/>
    </w:rPr>
  </w:style>
  <w:style w:type="character" w:customStyle="1" w:styleId="67">
    <w:name w:val="样式标题 Char"/>
    <w:link w:val="65"/>
    <w:qFormat/>
    <w:uiPriority w:val="0"/>
    <w:rPr>
      <w:rFonts w:hint="eastAsia" w:ascii="黑体" w:hAnsi="黑体" w:eastAsia="黑体" w:cs="黑体"/>
      <w:color w:val="000000"/>
      <w:sz w:val="32"/>
      <w:szCs w:val="32"/>
    </w:rPr>
  </w:style>
  <w:style w:type="paragraph" w:customStyle="1" w:styleId="6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69">
    <w:name w:val="Revision"/>
    <w:hidden/>
    <w:semiHidden/>
    <w:qFormat/>
    <w:uiPriority w:val="99"/>
    <w:rPr>
      <w:rFonts w:ascii="Calibri" w:hAnsi="Calibri" w:eastAsia="宋体" w:cs="Times New Roman"/>
      <w:sz w:val="21"/>
      <w:lang w:val="en-US" w:eastAsia="zh-CN" w:bidi="ar-SA"/>
    </w:rPr>
  </w:style>
  <w:style w:type="paragraph" w:styleId="70">
    <w:name w:val="List Paragraph"/>
    <w:basedOn w:val="1"/>
    <w:qFormat/>
    <w:uiPriority w:val="34"/>
    <w:pPr>
      <w:ind w:firstLine="420" w:firstLineChars="200"/>
    </w:pPr>
    <w:rPr>
      <w:rFonts w:ascii="等线" w:hAnsi="等线" w:eastAsia="等线"/>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1605</Words>
  <Characters>9106</Characters>
  <Lines>142</Lines>
  <Paragraphs>39</Paragraphs>
  <TotalTime>0</TotalTime>
  <ScaleCrop>false</ScaleCrop>
  <LinksUpToDate>false</LinksUpToDate>
  <CharactersWithSpaces>10689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2023-01-29T01:28:00Z</dcterms:created>
  <dc:creator>万户网络</dc:creator>
  <cp:lastModifiedBy>零下270.15K</cp:lastModifiedBy>
  <dcterms:modified xsi:type="dcterms:W3CDTF">2023-11-24T01:37:47Z</dcterms:modified>
  <dc:title>紫金铜业有限公司精矿库区域装卸作业管理制度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69C03484ECF64BECB412C6B5CCDB443E</vt:lpwstr>
  </property>
</Properties>
</file>