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474" w:beforeLines="150" w:after="316" w:afterLines="100"/>
        <w:jc w:val="center"/>
        <w:textAlignment w:val="auto"/>
        <w:outlineLvl w:val="1"/>
        <w:rPr>
          <w:rFonts w:ascii="黑体" w:hAnsi="黑体" w:eastAsia="黑体"/>
          <w:szCs w:val="21"/>
        </w:rPr>
      </w:pPr>
      <w:bookmarkStart w:id="0" w:name="_Toc12655"/>
      <w:bookmarkStart w:id="1" w:name="_Toc1867"/>
      <w:bookmarkStart w:id="2" w:name="_Toc168"/>
      <w:bookmarkStart w:id="3" w:name="_Toc30697"/>
      <w:bookmarkStart w:id="4" w:name="_Toc11696"/>
      <w:bookmarkStart w:id="5" w:name="_Toc32536"/>
      <w:bookmarkStart w:id="6" w:name="_Toc2273"/>
      <w:bookmarkStart w:id="7" w:name="_Toc17955"/>
      <w:bookmarkStart w:id="8" w:name="_Toc11893"/>
      <w:bookmarkStart w:id="9" w:name="_Toc9882"/>
      <w:bookmarkStart w:id="10" w:name="_Toc21484"/>
      <w:bookmarkStart w:id="11" w:name="_Toc13698"/>
      <w:bookmarkStart w:id="12" w:name="_Toc2276"/>
      <w:bookmarkStart w:id="13" w:name="_Toc2334"/>
      <w:bookmarkStart w:id="14" w:name="_Toc22725"/>
      <w:bookmarkStart w:id="15" w:name="_Toc20891"/>
      <w:bookmarkStart w:id="16" w:name="_Toc31399"/>
      <w:bookmarkStart w:id="17" w:name="_Toc26231"/>
      <w:bookmarkStart w:id="18" w:name="_Toc14462"/>
      <w:bookmarkStart w:id="19" w:name="_Toc8440"/>
      <w:bookmarkStart w:id="20" w:name="_Toc20080"/>
      <w:bookmarkStart w:id="21" w:name="_Toc1156"/>
      <w:bookmarkStart w:id="22" w:name="_Toc28287"/>
      <w:bookmarkStart w:id="23" w:name="_Toc9849"/>
      <w:bookmarkStart w:id="24" w:name="_Toc15046"/>
      <w:bookmarkStart w:id="25" w:name="_Toc23125"/>
      <w:bookmarkStart w:id="26" w:name="_Toc14857"/>
      <w:bookmarkStart w:id="27" w:name="_Toc72854493"/>
      <w:bookmarkStart w:id="28" w:name="_Toc72854497"/>
      <w:bookmarkStart w:id="29" w:name="_Toc1029"/>
      <w:bookmarkStart w:id="30" w:name="_Toc31343"/>
      <w:bookmarkStart w:id="31" w:name="_Toc28860"/>
      <w:bookmarkStart w:id="32" w:name="_Toc14246"/>
      <w:bookmarkStart w:id="33" w:name="_Toc17499"/>
      <w:r>
        <w:rPr>
          <w:rFonts w:hint="eastAsia" w:ascii="黑体" w:hAnsi="黑体" w:eastAsia="黑体"/>
          <w:szCs w:val="21"/>
        </w:rPr>
        <w:t>矿产供应链尽责管理政策</w:t>
      </w:r>
      <w:r>
        <w:rPr>
          <w:rFonts w:hint="eastAsia" w:ascii="黑体" w:hAnsi="黑体" w:eastAsia="黑体"/>
          <w:szCs w:val="21"/>
        </w:rPr>
        <w:fldChar w:fldCharType="begin"/>
      </w:r>
      <w:r>
        <w:rPr>
          <w:rFonts w:hint="eastAsia" w:ascii="黑体" w:hAnsi="黑体" w:eastAsia="黑体"/>
          <w:szCs w:val="21"/>
        </w:rPr>
        <w:instrText xml:space="preserve"> HYPERLINK "javascript:void(0);" \o "添加到收藏夹" </w:instrText>
      </w:r>
      <w:r>
        <w:rPr>
          <w:rFonts w:ascii="黑体" w:hAnsi="黑体" w:eastAsia="黑体"/>
          <w:szCs w:val="21"/>
        </w:rPr>
        <w:fldChar w:fldCharType="separate"/>
      </w:r>
      <w:r>
        <w:rPr>
          <w:rFonts w:hint="eastAsia" w:ascii="黑体" w:hAnsi="黑体" w:eastAsia="黑体"/>
          <w:szCs w:val="21"/>
        </w:rPr>
        <w:fldChar w:fldCharType="end"/>
      </w:r>
      <w:bookmarkEnd w:id="0"/>
      <w:bookmarkEnd w:id="1"/>
      <w:bookmarkEnd w:id="2"/>
      <w:bookmarkEnd w:id="3"/>
      <w:bookmarkEnd w:id="4"/>
      <w:bookmarkEnd w:id="5"/>
      <w:bookmarkEnd w:id="6"/>
      <w:bookmarkEnd w:id="7"/>
      <w:bookmarkEnd w:id="8"/>
      <w:bookmarkEnd w:id="9"/>
      <w:bookmarkEnd w:id="10"/>
      <w:bookmarkEnd w:id="11"/>
      <w:bookmarkEnd w:id="12"/>
      <w:bookmarkEnd w:id="13"/>
    </w:p>
    <w:bookmarkEnd w:id="14"/>
    <w:p>
      <w:pPr>
        <w:ind w:firstLine="420" w:firstLineChars="200"/>
        <w:rPr>
          <w:rFonts w:hint="eastAsia"/>
        </w:rPr>
      </w:pPr>
      <w:r>
        <w:rPr>
          <w:rFonts w:hint="eastAsia"/>
          <w:lang w:val="en-US" w:eastAsia="zh-CN"/>
        </w:rPr>
        <w:t xml:space="preserve"> </w:t>
      </w:r>
      <w:r>
        <w:rPr>
          <w:rFonts w:hint="eastAsia"/>
        </w:rPr>
        <w:t>认识到在“受冲突影响和高风险区域”从事矿产资源开采、交易、处理、出口存在可能造成重大不利影响的风险，并认识到我们有尊重人权、不助长冲突和不对环境和社会产生不利影响的义务，紫金铜业有限公司承诺采纳并广泛传播《中国矿产供应链尽责管理指南》相关内容，并将其纳入到与供应商签订的合同和协议之中。这一政策为矿产供应链全过程涉及冲突敏感的采购活动以及供应商提高风险意识提供参考。我们承诺不从事任何会为冲突提供资助的活动，承诺遵守联合国相关制裁决议，或者在适用情况下，遵守执行此类决议的国内法律。本政策涵盖的物料类型包括：铜及含铜物料。</w:t>
      </w:r>
    </w:p>
    <w:p>
      <w:pPr>
        <w:pStyle w:val="45"/>
        <w:spacing w:before="157" w:after="157"/>
        <w:rPr>
          <w:rFonts w:hint="default"/>
        </w:rPr>
      </w:pPr>
      <w:bookmarkStart w:id="34" w:name="_Toc24654"/>
      <w:bookmarkStart w:id="35" w:name="_Toc13356"/>
      <w:bookmarkStart w:id="36" w:name="_Toc15409"/>
      <w:bookmarkStart w:id="37" w:name="_Toc1537"/>
      <w:r>
        <w:t>第</w:t>
      </w:r>
      <w:r>
        <w:rPr>
          <w:rFonts w:hint="eastAsia"/>
          <w:lang w:val="en-US" w:eastAsia="zh-CN"/>
        </w:rPr>
        <w:t>一</w:t>
      </w:r>
      <w:r>
        <w:t xml:space="preserve">章 </w:t>
      </w:r>
      <w:r>
        <w:rPr>
          <w:rFonts w:hint="eastAsia"/>
        </w:rPr>
        <w:t>与人权有关的风险</w:t>
      </w:r>
      <w:r>
        <w:rPr>
          <w:rFonts w:hint="eastAsia"/>
          <w:lang w:val="en-US" w:eastAsia="zh-CN"/>
        </w:rPr>
        <w:t>和风险缓解策略</w:t>
      </w:r>
      <w:bookmarkEnd w:id="34"/>
      <w:bookmarkEnd w:id="35"/>
    </w:p>
    <w:bookmarkEnd w:id="36"/>
    <w:bookmarkEnd w:id="37"/>
    <w:p>
      <w:pPr>
        <w:pStyle w:val="45"/>
        <w:spacing w:before="157" w:after="157"/>
        <w:rPr>
          <w:rFonts w:hint="default"/>
        </w:rPr>
      </w:pPr>
      <w:bookmarkStart w:id="38" w:name="_Toc5950"/>
      <w:bookmarkStart w:id="39" w:name="_Toc24173"/>
      <w:bookmarkStart w:id="40" w:name="_Toc3223"/>
      <w:bookmarkStart w:id="41" w:name="_Toc14091"/>
      <w:bookmarkStart w:id="42" w:name="_Toc27035"/>
      <w:bookmarkStart w:id="43" w:name="_Toc13372"/>
      <w:bookmarkStart w:id="44" w:name="_Toc21830"/>
      <w:bookmarkStart w:id="45" w:name="_Toc21269"/>
      <w:bookmarkStart w:id="46" w:name="_Toc3103"/>
      <w:r>
        <w:t>第</w:t>
      </w:r>
      <w:r>
        <w:rPr>
          <w:rFonts w:hint="eastAsia"/>
          <w:lang w:val="en-US" w:eastAsia="zh-CN"/>
        </w:rPr>
        <w:t>一</w:t>
      </w:r>
      <w:r>
        <w:t>条</w:t>
      </w:r>
      <w:r>
        <w:rPr>
          <w:rFonts w:hint="default"/>
        </w:rPr>
        <w:t xml:space="preserve"> </w:t>
      </w:r>
      <w:r>
        <w:rPr>
          <w:rFonts w:hint="eastAsia"/>
        </w:rPr>
        <w:t>与矿产开采、运输、或贸易有关的严重侵权行为</w:t>
      </w:r>
      <w:r>
        <w:rPr>
          <w:rFonts w:hint="eastAsia"/>
          <w:lang w:val="en-US" w:eastAsia="zh-CN"/>
        </w:rPr>
        <w:t>的风险</w:t>
      </w:r>
      <w:bookmarkEnd w:id="38"/>
      <w:bookmarkEnd w:id="39"/>
      <w:bookmarkEnd w:id="40"/>
      <w:bookmarkEnd w:id="41"/>
      <w:bookmarkEnd w:id="42"/>
      <w:bookmarkEnd w:id="43"/>
      <w:bookmarkEnd w:id="44"/>
      <w:bookmarkEnd w:id="45"/>
      <w:bookmarkEnd w:id="46"/>
    </w:p>
    <w:p>
      <w:pPr>
        <w:ind w:firstLine="420" w:firstLineChars="200"/>
        <w:rPr>
          <w:rFonts w:hint="eastAsia" w:eastAsia="宋体"/>
          <w:lang w:eastAsia="zh-CN"/>
        </w:rPr>
      </w:pPr>
      <w:r>
        <w:rPr>
          <w:rFonts w:hint="eastAsia"/>
        </w:rPr>
        <w:t>在受冲突影响和高风险区域开展采购或经营活动时，我们既不会容忍也不会以任何方式获利于、帮助、协助或便利任何一方实施</w:t>
      </w:r>
      <w:r>
        <w:rPr>
          <w:rFonts w:hint="eastAsia"/>
          <w:lang w:eastAsia="zh-CN"/>
        </w:rPr>
        <w:t>。</w:t>
      </w:r>
    </w:p>
    <w:p>
      <w:pPr>
        <w:ind w:firstLine="420" w:firstLineChars="200"/>
        <w:rPr>
          <w:rFonts w:hint="eastAsia"/>
        </w:rPr>
      </w:pPr>
      <w:bookmarkStart w:id="47" w:name="_Toc16535"/>
      <w:bookmarkStart w:id="48" w:name="_Toc20743"/>
      <w:bookmarkStart w:id="49" w:name="_Toc943"/>
      <w:bookmarkStart w:id="50" w:name="_Toc11022"/>
      <w:bookmarkStart w:id="51" w:name="_Toc11550"/>
      <w:bookmarkStart w:id="52" w:name="_Toc28126"/>
      <w:bookmarkStart w:id="53" w:name="_Toc26663"/>
      <w:bookmarkStart w:id="54" w:name="_Toc30727"/>
      <w:bookmarkStart w:id="55" w:name="_Toc17972"/>
      <w:bookmarkStart w:id="56" w:name="_Toc23485"/>
      <w:r>
        <w:rPr>
          <w:rFonts w:hint="eastAsia"/>
        </w:rPr>
        <w:t>1.任何形式的酷刑，残忍、不人道和有辱人格的待遇；</w:t>
      </w:r>
    </w:p>
    <w:p>
      <w:pPr>
        <w:ind w:firstLine="420" w:firstLineChars="200"/>
        <w:rPr>
          <w:rFonts w:hint="eastAsia"/>
        </w:rPr>
      </w:pPr>
      <w:r>
        <w:rPr>
          <w:rFonts w:hint="eastAsia"/>
          <w:lang w:val="en-US" w:eastAsia="zh-CN"/>
        </w:rPr>
        <w:t>2.</w:t>
      </w:r>
      <w:r>
        <w:rPr>
          <w:rFonts w:hint="eastAsia"/>
        </w:rPr>
        <w:t>任何形式的强迫或强制劳动。强迫或强制劳动是指以惩罚作为威胁榨取的任何个人的、并非该人自愿提供的劳动或服务；</w:t>
      </w:r>
    </w:p>
    <w:p>
      <w:pPr>
        <w:ind w:firstLine="420" w:firstLineChars="200"/>
        <w:rPr>
          <w:rFonts w:hint="eastAsia"/>
        </w:rPr>
      </w:pPr>
      <w:r>
        <w:rPr>
          <w:rFonts w:hint="eastAsia"/>
          <w:lang w:val="en-US" w:eastAsia="zh-CN"/>
        </w:rPr>
        <w:t>3.</w:t>
      </w:r>
      <w:r>
        <w:rPr>
          <w:rFonts w:hint="eastAsia"/>
        </w:rPr>
        <w:t>最恶劣形式的童工；</w:t>
      </w:r>
    </w:p>
    <w:p>
      <w:pPr>
        <w:ind w:firstLine="420" w:firstLineChars="200"/>
        <w:rPr>
          <w:rFonts w:hint="eastAsia"/>
        </w:rPr>
      </w:pPr>
      <w:r>
        <w:rPr>
          <w:rFonts w:hint="eastAsia"/>
          <w:lang w:val="en-US" w:eastAsia="zh-CN"/>
        </w:rPr>
        <w:t>4.</w:t>
      </w:r>
      <w:r>
        <w:rPr>
          <w:rFonts w:hint="eastAsia"/>
        </w:rPr>
        <w:t>其他严重侵犯和践踏人权的行为，如普遍的性暴力行为；</w:t>
      </w:r>
    </w:p>
    <w:p>
      <w:pPr>
        <w:ind w:firstLine="420" w:firstLineChars="200"/>
      </w:pPr>
      <w:r>
        <w:rPr>
          <w:rFonts w:hint="eastAsia"/>
          <w:lang w:val="en-US" w:eastAsia="zh-CN"/>
        </w:rPr>
        <w:t>5.</w:t>
      </w:r>
      <w:r>
        <w:rPr>
          <w:rFonts w:hint="eastAsia"/>
        </w:rPr>
        <w:t>战争罪或其他严重违反国际人道主义法的行为，反人类罪或种族灭绝罪</w:t>
      </w:r>
      <w:bookmarkEnd w:id="47"/>
      <w:bookmarkEnd w:id="48"/>
      <w:bookmarkEnd w:id="49"/>
      <w:bookmarkEnd w:id="50"/>
      <w:bookmarkEnd w:id="51"/>
      <w:bookmarkEnd w:id="52"/>
      <w:bookmarkEnd w:id="53"/>
      <w:bookmarkEnd w:id="54"/>
      <w:bookmarkEnd w:id="55"/>
      <w:bookmarkEnd w:id="56"/>
    </w:p>
    <w:p>
      <w:pPr>
        <w:pStyle w:val="45"/>
        <w:spacing w:before="157" w:after="157"/>
        <w:rPr>
          <w:rFonts w:hint="default" w:eastAsia="黑体"/>
          <w:lang w:val="en-US" w:eastAsia="zh-CN"/>
        </w:rPr>
      </w:pPr>
      <w:r>
        <w:t>第</w:t>
      </w:r>
      <w:r>
        <w:rPr>
          <w:rFonts w:hint="eastAsia"/>
          <w:lang w:val="en-US" w:eastAsia="zh-CN"/>
        </w:rPr>
        <w:t>二</w:t>
      </w:r>
      <w:r>
        <w:t>条</w:t>
      </w:r>
      <w:r>
        <w:rPr>
          <w:rFonts w:hint="default"/>
        </w:rPr>
        <w:t xml:space="preserve"> </w:t>
      </w:r>
      <w:r>
        <w:rPr>
          <w:rFonts w:hint="eastAsia"/>
          <w:lang w:val="en-US" w:eastAsia="zh-CN"/>
        </w:rPr>
        <w:t>关于童工的风险</w:t>
      </w:r>
    </w:p>
    <w:p>
      <w:pPr>
        <w:ind w:firstLine="420" w:firstLineChars="200"/>
        <w:rPr>
          <w:rFonts w:hint="default"/>
        </w:rPr>
      </w:pPr>
      <w:r>
        <w:rPr>
          <w:rFonts w:hint="eastAsia"/>
        </w:rPr>
        <w:t>在受冲突影响和高风险区域开展采购或经营活动时，我们将不会雇佣、获利于、协助或为低于东道国法律或法规规定的最低工作年龄的儿童就业而提供便利或跟其采购或与其有关联。如果东道国没有相关的法律或法规规定，最低工作年龄为16周岁。</w:t>
      </w:r>
    </w:p>
    <w:p>
      <w:pPr>
        <w:pStyle w:val="45"/>
        <w:spacing w:before="157" w:after="157"/>
        <w:rPr>
          <w:rFonts w:hint="default"/>
        </w:rPr>
      </w:pPr>
      <w:bookmarkStart w:id="57" w:name="_Toc1565"/>
      <w:r>
        <w:t>第</w:t>
      </w:r>
      <w:r>
        <w:rPr>
          <w:rFonts w:hint="eastAsia"/>
          <w:lang w:val="en-US" w:eastAsia="zh-CN"/>
        </w:rPr>
        <w:t>三</w:t>
      </w:r>
      <w:r>
        <w:t xml:space="preserve">条 </w:t>
      </w:r>
      <w:r>
        <w:rPr>
          <w:rFonts w:hint="eastAsia"/>
          <w:lang w:val="en-US" w:eastAsia="zh-CN"/>
        </w:rPr>
        <w:t>与人权有关的风险缓解策略</w:t>
      </w:r>
      <w:bookmarkEnd w:id="57"/>
    </w:p>
    <w:p>
      <w:pPr>
        <w:ind w:firstLine="420" w:firstLineChars="200"/>
        <w:rPr>
          <w:rFonts w:hint="eastAsia"/>
        </w:rPr>
      </w:pPr>
      <w:r>
        <w:rPr>
          <w:rFonts w:hint="eastAsia"/>
        </w:rPr>
        <w:t>如果我们有合理理由认为该风险存在，即上游供应商正从实施上述严重侵权行为的任何一方进行采购或与该方有关联，我们将立即中止或终止与该供应商的合作。</w:t>
      </w:r>
    </w:p>
    <w:p>
      <w:pPr>
        <w:pStyle w:val="45"/>
        <w:spacing w:before="157" w:after="157"/>
        <w:rPr>
          <w:rFonts w:hint="default"/>
        </w:rPr>
      </w:pPr>
      <w:r>
        <w:t>第</w:t>
      </w:r>
      <w:r>
        <w:rPr>
          <w:rFonts w:hint="eastAsia"/>
          <w:lang w:val="en-US" w:eastAsia="zh-CN"/>
        </w:rPr>
        <w:t>二</w:t>
      </w:r>
      <w:r>
        <w:t xml:space="preserve">章 </w:t>
      </w:r>
      <w:r>
        <w:rPr>
          <w:rFonts w:hint="eastAsia"/>
        </w:rPr>
        <w:t>与冲突有关的风险</w:t>
      </w:r>
      <w:r>
        <w:rPr>
          <w:rFonts w:hint="eastAsia"/>
          <w:lang w:val="en-US" w:eastAsia="zh-CN"/>
        </w:rPr>
        <w:t>和风险缓解策略</w:t>
      </w:r>
    </w:p>
    <w:p>
      <w:pPr>
        <w:pStyle w:val="45"/>
        <w:spacing w:before="157" w:after="157"/>
        <w:rPr>
          <w:rFonts w:hint="default" w:eastAsia="黑体"/>
          <w:lang w:val="en-US" w:eastAsia="zh-CN"/>
        </w:rPr>
      </w:pPr>
      <w:r>
        <w:t>第</w:t>
      </w:r>
      <w:r>
        <w:rPr>
          <w:rFonts w:hint="eastAsia"/>
          <w:lang w:val="en-US" w:eastAsia="zh-CN"/>
        </w:rPr>
        <w:t>一</w:t>
      </w:r>
      <w:r>
        <w:t>条</w:t>
      </w:r>
      <w:r>
        <w:rPr>
          <w:rFonts w:hint="default"/>
        </w:rPr>
        <w:t xml:space="preserve"> </w:t>
      </w:r>
      <w:r>
        <w:rPr>
          <w:rFonts w:hint="eastAsia"/>
        </w:rPr>
        <w:t>关于直接或间接支持非国家武装团体</w:t>
      </w:r>
      <w:r>
        <w:rPr>
          <w:rFonts w:hint="eastAsia"/>
          <w:lang w:val="en-US" w:eastAsia="zh-CN"/>
        </w:rPr>
        <w:t>的风险</w:t>
      </w:r>
    </w:p>
    <w:p>
      <w:pPr>
        <w:ind w:firstLine="420" w:firstLineChars="200"/>
        <w:rPr>
          <w:rFonts w:hint="eastAsia"/>
        </w:rPr>
      </w:pPr>
      <w:r>
        <w:rPr>
          <w:rFonts w:hint="eastAsia"/>
        </w:rPr>
        <w:t>我们不会容忍任何通过矿产开采、运输、贸易、处理或出口为非国家武装团体提供直接或间接的支持。通过矿产开采、运输、贸易、处理或出口为非国家武装团体提供“直接或间接的支持”包括且不限于从非国家、武装团体或其关联方购买矿产，向其进行付款，或以其他方式为其提供后勤支援或设备等。</w:t>
      </w:r>
    </w:p>
    <w:p>
      <w:pPr>
        <w:ind w:firstLine="420" w:firstLineChars="200"/>
        <w:rPr>
          <w:rFonts w:hint="eastAsia"/>
        </w:rPr>
      </w:pPr>
      <w:r>
        <w:rPr>
          <w:rFonts w:hint="eastAsia"/>
        </w:rPr>
        <w:t xml:space="preserve">这些武装团体或关联方可能存在如下侵权行为： </w:t>
      </w:r>
    </w:p>
    <w:p>
      <w:pPr>
        <w:ind w:firstLine="420" w:firstLineChars="200"/>
        <w:rPr>
          <w:rFonts w:hint="eastAsia"/>
        </w:rPr>
      </w:pPr>
      <w:r>
        <w:rPr>
          <w:rFonts w:hint="eastAsia"/>
          <w:lang w:val="en-US" w:eastAsia="zh-CN"/>
        </w:rPr>
        <w:t>1.</w:t>
      </w:r>
      <w:r>
        <w:rPr>
          <w:rFonts w:hint="eastAsia"/>
        </w:rPr>
        <w:t>非法控制矿址，或以其他方式控制运输路线、矿产交易点以及供应链上游行为主体；并/或</w:t>
      </w:r>
    </w:p>
    <w:p>
      <w:pPr>
        <w:ind w:firstLine="420" w:firstLineChars="200"/>
        <w:rPr>
          <w:rFonts w:hint="eastAsia"/>
        </w:rPr>
      </w:pPr>
      <w:r>
        <w:rPr>
          <w:rFonts w:hint="eastAsia"/>
          <w:lang w:val="en-US" w:eastAsia="zh-CN"/>
        </w:rPr>
        <w:t>2.</w:t>
      </w:r>
      <w:r>
        <w:rPr>
          <w:rFonts w:hint="eastAsia"/>
        </w:rPr>
        <w:t>在矿址入口、运输路线沿线或矿产交易点非法征税或者勒索钱财或矿产；并/或</w:t>
      </w:r>
    </w:p>
    <w:p>
      <w:pPr>
        <w:ind w:firstLine="420" w:firstLineChars="200"/>
        <w:rPr>
          <w:rFonts w:hint="eastAsia" w:eastAsia="宋体"/>
          <w:lang w:eastAsia="zh-CN"/>
        </w:rPr>
      </w:pPr>
      <w:r>
        <w:rPr>
          <w:rFonts w:hint="eastAsia"/>
          <w:lang w:val="en-US" w:eastAsia="zh-CN"/>
        </w:rPr>
        <w:t>3.</w:t>
      </w:r>
      <w:r>
        <w:rPr>
          <w:rFonts w:hint="eastAsia"/>
        </w:rPr>
        <w:t>对中间商、出口企业、或国际贸易商非法征税或勒索</w:t>
      </w:r>
      <w:r>
        <w:rPr>
          <w:rFonts w:hint="eastAsia"/>
          <w:lang w:eastAsia="zh-CN"/>
        </w:rPr>
        <w:t>。</w:t>
      </w:r>
    </w:p>
    <w:p>
      <w:pPr>
        <w:pStyle w:val="45"/>
        <w:spacing w:before="157" w:after="157"/>
        <w:rPr>
          <w:rFonts w:hint="default"/>
        </w:rPr>
      </w:pPr>
      <w:r>
        <w:t>第</w:t>
      </w:r>
      <w:r>
        <w:rPr>
          <w:rFonts w:hint="eastAsia"/>
          <w:lang w:val="en-US" w:eastAsia="zh-CN"/>
        </w:rPr>
        <w:t>二</w:t>
      </w:r>
      <w:r>
        <w:t xml:space="preserve">条 </w:t>
      </w:r>
      <w:r>
        <w:rPr>
          <w:rFonts w:hint="eastAsia"/>
        </w:rPr>
        <w:t>直接或间接支持非国家武装团体</w:t>
      </w:r>
      <w:r>
        <w:rPr>
          <w:rFonts w:hint="eastAsia"/>
          <w:lang w:val="en-US" w:eastAsia="zh-CN"/>
        </w:rPr>
        <w:t>的风险环境策略</w:t>
      </w:r>
    </w:p>
    <w:p>
      <w:pPr>
        <w:ind w:firstLine="420" w:firstLineChars="200"/>
        <w:rPr>
          <w:rFonts w:hint="eastAsia"/>
        </w:rPr>
      </w:pPr>
      <w:r>
        <w:rPr>
          <w:rFonts w:hint="eastAsia"/>
        </w:rPr>
        <w:t>如果我们有理由认为，上游供应商从向非国家武装团体提供直接或间接支持的任何一方进行采购或与之存在关系，我们将立即中止或终止与该供应商的合作。</w:t>
      </w:r>
    </w:p>
    <w:p>
      <w:pPr>
        <w:pStyle w:val="45"/>
        <w:spacing w:before="157" w:after="157"/>
        <w:rPr>
          <w:rFonts w:hint="default" w:eastAsia="黑体"/>
          <w:lang w:val="en-US" w:eastAsia="zh-CN"/>
        </w:rPr>
      </w:pPr>
      <w:r>
        <w:t>第</w:t>
      </w:r>
      <w:r>
        <w:rPr>
          <w:rFonts w:hint="eastAsia"/>
          <w:lang w:val="en-US" w:eastAsia="zh-CN"/>
        </w:rPr>
        <w:t>三</w:t>
      </w:r>
      <w:r>
        <w:t>条</w:t>
      </w:r>
      <w:r>
        <w:rPr>
          <w:rFonts w:hint="default"/>
        </w:rPr>
        <w:t xml:space="preserve"> </w:t>
      </w:r>
      <w:r>
        <w:rPr>
          <w:rFonts w:hint="eastAsia"/>
        </w:rPr>
        <w:t>关于公共或私人安全武装</w:t>
      </w:r>
      <w:r>
        <w:rPr>
          <w:rFonts w:hint="eastAsia"/>
          <w:lang w:val="en-US" w:eastAsia="zh-CN"/>
        </w:rPr>
        <w:t>的风险</w:t>
      </w:r>
    </w:p>
    <w:p>
      <w:pPr>
        <w:spacing w:before="157" w:after="157"/>
        <w:ind w:firstLine="420" w:firstLineChars="200"/>
        <w:rPr>
          <w:rFonts w:hint="eastAsia"/>
        </w:rPr>
      </w:pPr>
      <w:r>
        <w:rPr>
          <w:rFonts w:hint="eastAsia"/>
        </w:rPr>
        <w:t xml:space="preserve">我们杜绝向非法控制矿址、运输路线以及供应链上游行为主体，在矿址入口、运输路线沿线或矿产交易点非法征税或索要钱财或矿产，或者向中间商、出口企业或国际贸易商非法征税或进行勒索的公共或私人安全武装提供直接或间接支持。 </w:t>
      </w:r>
    </w:p>
    <w:p>
      <w:pPr>
        <w:spacing w:before="157" w:after="157"/>
        <w:ind w:firstLine="420" w:firstLineChars="200"/>
        <w:rPr>
          <w:rFonts w:hint="eastAsia"/>
        </w:rPr>
      </w:pPr>
      <w:r>
        <w:rPr>
          <w:rFonts w:hint="eastAsia"/>
        </w:rPr>
        <w:t xml:space="preserve">我们认可，矿址及 / 或其周边地区以及 / 或运输道路沿线的公共或私人安全武装的作用仅是维护法治，包括保障人权、保护矿工、设备和设施安全、保护矿址或运输路线以使合法的开采和贸易不受干扰。 </w:t>
      </w:r>
    </w:p>
    <w:p>
      <w:pPr>
        <w:spacing w:before="157" w:after="157"/>
        <w:ind w:firstLine="420" w:firstLineChars="200"/>
        <w:rPr>
          <w:rFonts w:hint="eastAsia"/>
        </w:rPr>
      </w:pPr>
      <w:r>
        <w:rPr>
          <w:rFonts w:hint="eastAsia"/>
        </w:rPr>
        <w:t xml:space="preserve">在我们或我们供应链上的任何企业与公共或私人安全武装签订合约的情况下，我们承诺或将规定，这类安全武装需被公认的处理公共或私人安全武装的国际标准和指导性文件所认可。尤其是，我们将会支持或采取措施运用筛查政策，确保已知的实施过严重侵犯人权行为的个人或安全武装单位不被录用。 </w:t>
      </w:r>
    </w:p>
    <w:p>
      <w:pPr>
        <w:spacing w:before="157" w:after="157"/>
        <w:ind w:firstLine="420" w:firstLineChars="200"/>
        <w:rPr>
          <w:rFonts w:hint="eastAsia"/>
        </w:rPr>
      </w:pPr>
      <w:r>
        <w:rPr>
          <w:rFonts w:hint="eastAsia"/>
        </w:rPr>
        <w:t xml:space="preserve">我们将支持或采取措施与中央或地方政府、国际组织和民间社会组织开展合作，共同为如何提高公共安全武装安保费用的透明度、相称性和问责性找到可行的解决方案。 </w:t>
      </w:r>
    </w:p>
    <w:p>
      <w:pPr>
        <w:spacing w:before="157" w:after="157"/>
        <w:ind w:firstLine="420" w:firstLineChars="200"/>
        <w:rPr>
          <w:rFonts w:hint="eastAsia"/>
        </w:rPr>
      </w:pPr>
      <w:r>
        <w:rPr>
          <w:rFonts w:hint="eastAsia"/>
        </w:rPr>
        <w:t>我们将支持或采取措施与当地政府、国际组织和民间社会组织开展互动，避免或最大限度地降低公共或私人安全武装驻扎在矿址给弱势群体带来的负面影响，尤其是对手工采矿矿工的负面影响。</w:t>
      </w:r>
    </w:p>
    <w:p>
      <w:pPr>
        <w:pStyle w:val="45"/>
        <w:spacing w:before="157" w:after="157"/>
        <w:rPr>
          <w:rFonts w:hint="default"/>
        </w:rPr>
      </w:pPr>
      <w:r>
        <w:t>第</w:t>
      </w:r>
      <w:r>
        <w:rPr>
          <w:rFonts w:hint="eastAsia"/>
          <w:lang w:val="en-US" w:eastAsia="zh-CN"/>
        </w:rPr>
        <w:t>四</w:t>
      </w:r>
      <w:r>
        <w:t xml:space="preserve">条 </w:t>
      </w:r>
      <w:r>
        <w:rPr>
          <w:rFonts w:hint="eastAsia"/>
        </w:rPr>
        <w:t>关于公共或私人安全武装的风险</w:t>
      </w:r>
      <w:r>
        <w:rPr>
          <w:rFonts w:hint="eastAsia"/>
          <w:lang w:val="en-US" w:eastAsia="zh-CN"/>
        </w:rPr>
        <w:t>缓解策略</w:t>
      </w:r>
    </w:p>
    <w:p>
      <w:pPr>
        <w:ind w:firstLine="420" w:firstLineChars="200"/>
        <w:rPr>
          <w:rFonts w:hint="eastAsia"/>
        </w:rPr>
      </w:pPr>
      <w:r>
        <w:rPr>
          <w:rFonts w:hint="eastAsia"/>
        </w:rPr>
        <w:t>如果我们有合理理由认为供应链中存在上述风险，将根据企业在供应链上所处的具体位置，立即制定、采用和实施上游供应商及其他利益相关方风险管理计划，从而使该风险得到遏制或降低。如果风险管理计划实施六个月未起作用，我们将暂时中止或终止与上游供应商的合作。</w:t>
      </w:r>
    </w:p>
    <w:p>
      <w:pPr>
        <w:pStyle w:val="45"/>
        <w:spacing w:before="157" w:after="157"/>
        <w:rPr>
          <w:rFonts w:hint="default"/>
        </w:rPr>
      </w:pPr>
      <w:r>
        <w:t>第</w:t>
      </w:r>
      <w:r>
        <w:rPr>
          <w:rFonts w:hint="eastAsia"/>
          <w:lang w:val="en-US" w:eastAsia="zh-CN"/>
        </w:rPr>
        <w:t>三</w:t>
      </w:r>
      <w:r>
        <w:t xml:space="preserve">章 </w:t>
      </w:r>
      <w:r>
        <w:rPr>
          <w:rFonts w:hint="eastAsia"/>
        </w:rPr>
        <w:t>与治理有关的风险</w:t>
      </w:r>
      <w:r>
        <w:rPr>
          <w:rFonts w:hint="eastAsia"/>
          <w:lang w:val="en-US" w:eastAsia="zh-CN"/>
        </w:rPr>
        <w:t>和风险缓解策略</w:t>
      </w:r>
    </w:p>
    <w:p>
      <w:pPr>
        <w:pStyle w:val="45"/>
        <w:spacing w:before="157" w:after="157"/>
        <w:rPr>
          <w:rFonts w:hint="default" w:eastAsia="黑体"/>
          <w:lang w:val="en-US" w:eastAsia="zh-CN"/>
        </w:rPr>
      </w:pPr>
      <w:r>
        <w:t>第</w:t>
      </w:r>
      <w:r>
        <w:rPr>
          <w:rFonts w:hint="eastAsia"/>
          <w:lang w:val="en-US" w:eastAsia="zh-CN"/>
        </w:rPr>
        <w:t>一</w:t>
      </w:r>
      <w:r>
        <w:t>条</w:t>
      </w:r>
      <w:r>
        <w:rPr>
          <w:rFonts w:hint="default"/>
        </w:rPr>
        <w:t xml:space="preserve"> </w:t>
      </w:r>
      <w:r>
        <w:rPr>
          <w:rFonts w:hint="eastAsia"/>
        </w:rPr>
        <w:t>关于行贿受贿及矿产原产地的欺诈性失实陈述</w:t>
      </w:r>
      <w:r>
        <w:rPr>
          <w:rFonts w:hint="eastAsia"/>
          <w:lang w:val="en-US" w:eastAsia="zh-CN"/>
        </w:rPr>
        <w:t>风险</w:t>
      </w:r>
    </w:p>
    <w:p>
      <w:pPr>
        <w:ind w:firstLine="420" w:firstLineChars="200"/>
        <w:rPr>
          <w:rFonts w:hint="eastAsia"/>
        </w:rPr>
      </w:pPr>
      <w:r>
        <w:rPr>
          <w:rFonts w:hint="eastAsia"/>
        </w:rPr>
        <w:t>我们不会提出、承诺、进行或索要任何贿赂，并且抵制诱惑，不会为了掩盖或伪造矿产原产地，虚报矿产开采、贸易、处理、运输、出口等活动应向政府缴纳的税收、费用和特许开采费而行贿。</w:t>
      </w:r>
    </w:p>
    <w:p>
      <w:pPr>
        <w:pStyle w:val="45"/>
        <w:spacing w:before="157" w:after="157"/>
        <w:rPr>
          <w:rFonts w:hint="default" w:eastAsia="黑体"/>
          <w:lang w:val="en-US" w:eastAsia="zh-CN"/>
        </w:rPr>
      </w:pPr>
      <w:r>
        <w:t>第</w:t>
      </w:r>
      <w:r>
        <w:rPr>
          <w:rFonts w:hint="eastAsia"/>
          <w:lang w:val="en-US" w:eastAsia="zh-CN"/>
        </w:rPr>
        <w:t>二</w:t>
      </w:r>
      <w:r>
        <w:t>条</w:t>
      </w:r>
      <w:r>
        <w:rPr>
          <w:rFonts w:hint="default"/>
        </w:rPr>
        <w:t xml:space="preserve"> </w:t>
      </w:r>
      <w:r>
        <w:rPr>
          <w:rFonts w:hint="eastAsia"/>
        </w:rPr>
        <w:t>关于</w:t>
      </w:r>
      <w:r>
        <w:rPr>
          <w:rFonts w:hint="eastAsia"/>
          <w:lang w:val="en-US" w:eastAsia="zh-CN"/>
        </w:rPr>
        <w:t>洗钱的风险</w:t>
      </w:r>
    </w:p>
    <w:p>
      <w:pPr>
        <w:ind w:firstLine="420" w:firstLineChars="200"/>
        <w:rPr>
          <w:rFonts w:hint="eastAsia"/>
        </w:rPr>
      </w:pPr>
      <w:r>
        <w:rPr>
          <w:rFonts w:hint="eastAsia"/>
        </w:rPr>
        <w:t>如果我们有理由认为，存在因开采、贸易、处理、运输或出口在矿址入口、运输路线沿线、或上游供应商矿产交易地进行非法征税或勒索而得的矿产所引起或与之相关的洗钱风险，我们将支持或采取措施，为有效消除洗钱行为做出贡献。</w:t>
      </w:r>
    </w:p>
    <w:p>
      <w:pPr>
        <w:pStyle w:val="45"/>
        <w:spacing w:before="157" w:after="157"/>
        <w:rPr>
          <w:rFonts w:hint="default" w:eastAsia="黑体"/>
          <w:lang w:val="en-US" w:eastAsia="zh-CN"/>
        </w:rPr>
      </w:pPr>
      <w:r>
        <w:t>第</w:t>
      </w:r>
      <w:r>
        <w:rPr>
          <w:rFonts w:hint="eastAsia"/>
          <w:lang w:val="en-US" w:eastAsia="zh-CN"/>
        </w:rPr>
        <w:t>三</w:t>
      </w:r>
      <w:r>
        <w:t>条</w:t>
      </w:r>
      <w:r>
        <w:rPr>
          <w:rFonts w:hint="default"/>
        </w:rPr>
        <w:t xml:space="preserve"> </w:t>
      </w:r>
      <w:r>
        <w:rPr>
          <w:rFonts w:hint="eastAsia"/>
          <w:lang w:val="en-US" w:eastAsia="zh-CN"/>
        </w:rPr>
        <w:t>关于向政府支付的税收、费用及特许费的风险</w:t>
      </w:r>
    </w:p>
    <w:p>
      <w:pPr>
        <w:ind w:firstLine="420" w:firstLineChars="200"/>
        <w:rPr>
          <w:rFonts w:hint="eastAsia"/>
        </w:rPr>
      </w:pPr>
      <w:r>
        <w:rPr>
          <w:rFonts w:hint="eastAsia"/>
        </w:rPr>
        <w:t>我们将确保向政府支付所有与受冲突影响和高风险区域矿石开采、贸易、出口相关的合法税收、费用和特许费，并且承诺根据企业在供应链上所处位置依照所在国关于向政府部门缴纳的税费信息公开的要求对此类支付进行披露。</w:t>
      </w:r>
    </w:p>
    <w:p>
      <w:pPr>
        <w:pStyle w:val="45"/>
        <w:spacing w:before="157" w:after="157"/>
        <w:rPr>
          <w:rFonts w:hint="default" w:eastAsia="黑体"/>
          <w:lang w:val="en-US" w:eastAsia="zh-CN"/>
        </w:rPr>
      </w:pPr>
      <w:r>
        <w:t>第</w:t>
      </w:r>
      <w:r>
        <w:rPr>
          <w:rFonts w:hint="eastAsia"/>
          <w:lang w:val="en-US" w:eastAsia="zh-CN"/>
        </w:rPr>
        <w:t>四</w:t>
      </w:r>
      <w:r>
        <w:t>条</w:t>
      </w:r>
      <w:r>
        <w:rPr>
          <w:rFonts w:hint="default"/>
        </w:rPr>
        <w:t xml:space="preserve"> </w:t>
      </w:r>
      <w:r>
        <w:rPr>
          <w:rFonts w:hint="eastAsia"/>
          <w:lang w:val="en-US" w:eastAsia="zh-CN"/>
        </w:rPr>
        <w:t>关于与治理有关的风险缓解策略</w:t>
      </w:r>
    </w:p>
    <w:p>
      <w:pPr>
        <w:ind w:firstLine="420" w:firstLineChars="200"/>
        <w:rPr>
          <w:rFonts w:hint="eastAsia"/>
        </w:rPr>
      </w:pPr>
      <w:r>
        <w:rPr>
          <w:rFonts w:hint="eastAsia"/>
        </w:rPr>
        <w:t>根据企业在供应链上所处的具体位置，我们承诺与供应商、中央或地方政府机关、国际组织、民间社会以及受影响的第三方酌情进行合作，本着在合理的时间跨度内采取显著措施防范或降低有负面影响的风险的目的，对绩效进行改善或跟踪。风险降低措施未起作用的，我们将暂时中止或终止与上游供应商的合作。对采用风险管理计划后需要降低的风险，企业应额外进行风险评估。若风险管理计划六个月内未取得明显效果，行贿、受贿及对矿产产地进行欺诈性失实陈述、洗钱、以及向政府缴纳税款、费用、特许费等行为的风险未能得到遏制或降低的话，企业应暂时停止或中断与供应商的合作，时间至少是三个月，并在暂时中止合作的同时对风险管理计划进行修订，阐明贸易关系恢复之前改进工作所应达到的绩效目标。</w:t>
      </w:r>
    </w:p>
    <w:p>
      <w:pPr>
        <w:pStyle w:val="45"/>
        <w:spacing w:before="157" w:after="157"/>
        <w:rPr>
          <w:rFonts w:hint="default" w:eastAsia="黑体"/>
          <w:lang w:val="en-US" w:eastAsia="zh-CN"/>
        </w:rPr>
      </w:pPr>
      <w:r>
        <w:t>第</w:t>
      </w:r>
      <w:r>
        <w:rPr>
          <w:rFonts w:hint="eastAsia"/>
          <w:lang w:val="en-US" w:eastAsia="zh-CN"/>
        </w:rPr>
        <w:t>四</w:t>
      </w:r>
      <w:r>
        <w:t xml:space="preserve">章 </w:t>
      </w:r>
      <w:r>
        <w:rPr>
          <w:rFonts w:hint="eastAsia"/>
        </w:rPr>
        <w:t>与环境保护和职业健康安全有关的风险</w:t>
      </w:r>
      <w:r>
        <w:rPr>
          <w:rFonts w:hint="eastAsia"/>
          <w:lang w:val="en-US" w:eastAsia="zh-CN"/>
        </w:rPr>
        <w:t>和风险环境策略</w:t>
      </w:r>
    </w:p>
    <w:p>
      <w:pPr>
        <w:pStyle w:val="45"/>
        <w:spacing w:before="157" w:after="157"/>
        <w:rPr>
          <w:rFonts w:hint="default" w:eastAsia="黑体"/>
          <w:lang w:val="en-US" w:eastAsia="zh-CN"/>
        </w:rPr>
      </w:pPr>
      <w:r>
        <w:t>第</w:t>
      </w:r>
      <w:r>
        <w:rPr>
          <w:rFonts w:hint="eastAsia"/>
          <w:lang w:val="en-US" w:eastAsia="zh-CN"/>
        </w:rPr>
        <w:t>一</w:t>
      </w:r>
      <w:r>
        <w:t>条</w:t>
      </w:r>
      <w:r>
        <w:rPr>
          <w:rFonts w:hint="default"/>
        </w:rPr>
        <w:t xml:space="preserve"> </w:t>
      </w:r>
      <w:r>
        <w:rPr>
          <w:rFonts w:hint="eastAsia"/>
        </w:rPr>
        <w:t>关于</w:t>
      </w:r>
      <w:r>
        <w:rPr>
          <w:rFonts w:hint="eastAsia"/>
          <w:lang w:val="en-US" w:eastAsia="zh-CN"/>
        </w:rPr>
        <w:t>环境保护</w:t>
      </w:r>
    </w:p>
    <w:p>
      <w:pPr>
        <w:ind w:firstLine="420" w:firstLineChars="200"/>
        <w:rPr>
          <w:rFonts w:hint="eastAsia"/>
        </w:rPr>
      </w:pPr>
      <w:r>
        <w:rPr>
          <w:rFonts w:hint="eastAsia"/>
        </w:rPr>
        <w:t>在受冲突影响和高风险地区进行采购或生产时，我们不会获利于、协助、便利于任何给周围土壤、空气和水的状况造成重大不利影响，严重违反当地相关法律法规的一方或从该处采购或与之存在关联。</w:t>
      </w:r>
    </w:p>
    <w:p>
      <w:pPr>
        <w:pStyle w:val="45"/>
        <w:spacing w:before="157" w:after="157"/>
        <w:rPr>
          <w:rFonts w:hint="default" w:eastAsia="黑体"/>
          <w:lang w:val="en-US" w:eastAsia="zh-CN"/>
        </w:rPr>
      </w:pPr>
      <w:r>
        <w:t>第</w:t>
      </w:r>
      <w:r>
        <w:rPr>
          <w:rFonts w:hint="eastAsia"/>
          <w:lang w:val="en-US" w:eastAsia="zh-CN"/>
        </w:rPr>
        <w:t>二</w:t>
      </w:r>
      <w:r>
        <w:t>条</w:t>
      </w:r>
      <w:r>
        <w:rPr>
          <w:rFonts w:hint="default"/>
        </w:rPr>
        <w:t xml:space="preserve"> </w:t>
      </w:r>
      <w:r>
        <w:rPr>
          <w:rFonts w:hint="eastAsia"/>
        </w:rPr>
        <w:t>关于</w:t>
      </w:r>
      <w:r>
        <w:rPr>
          <w:rFonts w:hint="eastAsia"/>
          <w:lang w:val="en-US" w:eastAsia="zh-CN"/>
        </w:rPr>
        <w:t>职业健康</w:t>
      </w:r>
    </w:p>
    <w:p>
      <w:pPr>
        <w:ind w:firstLine="420" w:firstLineChars="200"/>
        <w:rPr>
          <w:rFonts w:hint="eastAsia"/>
        </w:rPr>
      </w:pPr>
      <w:r>
        <w:rPr>
          <w:rFonts w:hint="eastAsia"/>
        </w:rPr>
        <w:t>在受冲突影响和高风险地区进行采购或生产时，我们不会获利于、协助、便利于任何为其直接和/或间接雇员和/或在其生产现场的任何人员提供影响矿工、直接和间接雇员的身心健康的职业健康与安全环境的一方，或从该方处采购或与之存在关联。</w:t>
      </w:r>
    </w:p>
    <w:p>
      <w:pPr>
        <w:pStyle w:val="45"/>
        <w:spacing w:before="157" w:after="157"/>
        <w:rPr>
          <w:rFonts w:hint="default" w:eastAsia="黑体"/>
          <w:lang w:val="en-US" w:eastAsia="zh-CN"/>
        </w:rPr>
      </w:pPr>
      <w:r>
        <w:t>第</w:t>
      </w:r>
      <w:r>
        <w:rPr>
          <w:rFonts w:hint="eastAsia"/>
          <w:lang w:val="en-US" w:eastAsia="zh-CN"/>
        </w:rPr>
        <w:t>三</w:t>
      </w:r>
      <w:r>
        <w:t>条</w:t>
      </w:r>
      <w:r>
        <w:rPr>
          <w:rFonts w:hint="default"/>
        </w:rPr>
        <w:t xml:space="preserve"> </w:t>
      </w:r>
      <w:r>
        <w:rPr>
          <w:rFonts w:hint="eastAsia"/>
        </w:rPr>
        <w:t>风险缓解策略</w:t>
      </w:r>
    </w:p>
    <w:p>
      <w:pPr>
        <w:ind w:firstLine="420" w:firstLineChars="200"/>
        <w:rPr>
          <w:rFonts w:hint="eastAsia"/>
        </w:rPr>
      </w:pPr>
      <w:r>
        <w:rPr>
          <w:rFonts w:hint="eastAsia"/>
        </w:rPr>
        <w:t>如果我们有合理理由认为供应链中存在上述风险，将立即制定、采用和实施上游供应商及其他利益相关方风险管理计划，从而使该风险得到遏制或降低。如果风险管理计划实施六个月未起作用，我们将暂时中止或终止与上游供应商的合作。</w:t>
      </w:r>
    </w:p>
    <w:p>
      <w:pPr>
        <w:pStyle w:val="45"/>
        <w:spacing w:before="157" w:after="157"/>
        <w:rPr>
          <w:rFonts w:hint="default" w:eastAsia="黑体"/>
          <w:lang w:val="en-US" w:eastAsia="zh-CN"/>
        </w:rPr>
      </w:pPr>
      <w:r>
        <w:t>第</w:t>
      </w:r>
      <w:r>
        <w:rPr>
          <w:rFonts w:hint="eastAsia"/>
          <w:lang w:val="en-US" w:eastAsia="zh-CN"/>
        </w:rPr>
        <w:t>五章</w:t>
      </w:r>
      <w:r>
        <w:rPr>
          <w:rFonts w:hint="default"/>
        </w:rPr>
        <w:t xml:space="preserve"> </w:t>
      </w:r>
      <w:r>
        <w:rPr>
          <w:rFonts w:hint="eastAsia"/>
        </w:rPr>
        <w:t>申诉渠道</w:t>
      </w:r>
    </w:p>
    <w:p>
      <w:pPr>
        <w:ind w:firstLine="420" w:firstLineChars="200"/>
        <w:rPr>
          <w:rFonts w:hint="eastAsia"/>
        </w:rPr>
      </w:pPr>
      <w:r>
        <w:rPr>
          <w:rFonts w:hint="eastAsia"/>
        </w:rPr>
        <w:t>任何内外部的利益相关方可就公司产品中涉及到的涵盖在本政策中的物料的开采、贸易、处理和出口过程中，存在的侵犯人权，助长冲突，治理，环境保护和职业健康安全的问题提出意见、建议或申诉。</w:t>
      </w:r>
    </w:p>
    <w:p>
      <w:pPr>
        <w:ind w:firstLine="420" w:firstLineChars="200"/>
        <w:rPr>
          <w:rFonts w:hint="eastAsia"/>
        </w:rPr>
      </w:pPr>
      <w:r>
        <w:rPr>
          <w:rFonts w:hint="eastAsia"/>
        </w:rPr>
        <w:t>电话：86-</w:t>
      </w:r>
      <w:r>
        <w:rPr>
          <w:rFonts w:hint="eastAsia"/>
          <w:lang w:val="en-US" w:eastAsia="zh-CN"/>
        </w:rPr>
        <w:t>0</w:t>
      </w:r>
      <w:r>
        <w:rPr>
          <w:rFonts w:hint="eastAsia"/>
        </w:rPr>
        <w:t>597-3626837</w:t>
      </w:r>
    </w:p>
    <w:p>
      <w:pPr>
        <w:ind w:firstLine="420" w:firstLineChars="200"/>
        <w:rPr>
          <w:rFonts w:hint="eastAsia"/>
        </w:rPr>
      </w:pPr>
      <w:r>
        <w:rPr>
          <w:rFonts w:hint="eastAsia"/>
        </w:rPr>
        <w:t>邮箱：zjtyxsyk@zijinmining.com</w:t>
      </w:r>
    </w:p>
    <w:p>
      <w:pPr>
        <w:ind w:firstLine="420" w:firstLineChars="200"/>
        <w:rPr>
          <w:rFonts w:hint="eastAsia"/>
        </w:rPr>
      </w:pPr>
      <w:bookmarkStart w:id="58" w:name="_GoBack"/>
      <w:bookmarkEnd w:id="58"/>
    </w:p>
    <w:p>
      <w:pPr>
        <w:ind w:firstLine="420" w:firstLineChars="200"/>
        <w:rPr>
          <w:rFonts w:hint="eastAsia"/>
        </w:rPr>
      </w:pPr>
    </w:p>
    <w:p>
      <w:pPr>
        <w:ind w:firstLine="420" w:firstLineChars="200"/>
        <w:rPr>
          <w:rFonts w:hint="eastAsia"/>
        </w:rPr>
      </w:pPr>
    </w:p>
    <w:p>
      <w:pPr>
        <w:pStyle w:val="70"/>
        <w:spacing w:line="360" w:lineRule="auto"/>
        <w:ind w:firstLine="6300" w:firstLineChars="3000"/>
        <w:rPr>
          <w:rFonts w:hint="eastAsia" w:ascii="Calibri" w:hAnsi="Calibri" w:eastAsia="宋体" w:cs="Times New Roman"/>
          <w:sz w:val="21"/>
          <w:szCs w:val="20"/>
          <w:lang w:val="en-US" w:eastAsia="zh-CN" w:bidi="ar-SA"/>
        </w:rPr>
      </w:pPr>
      <w:r>
        <w:rPr>
          <w:rFonts w:hint="eastAsia" w:ascii="Calibri" w:hAnsi="Calibri" w:eastAsia="宋体" w:cs="Times New Roman"/>
          <w:sz w:val="21"/>
          <w:szCs w:val="20"/>
          <w:lang w:val="en-US" w:eastAsia="zh-CN" w:bidi="ar-SA"/>
        </w:rPr>
        <w:t>生效日期：2023年2月13日</w:t>
      </w:r>
    </w:p>
    <w:p>
      <w:pPr>
        <w:ind w:firstLine="420" w:firstLineChars="200"/>
        <w:rPr>
          <w:rFonts w:hint="eastAsia"/>
        </w:rPr>
      </w:pPr>
    </w:p>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Pr>
        <w:widowControl w:val="0"/>
        <w:jc w:val="both"/>
        <w:rPr>
          <w:rFonts w:ascii="宋体" w:hAnsi="宋体"/>
          <w:kern w:val="2"/>
          <w:szCs w:val="22"/>
        </w:rPr>
      </w:pPr>
    </w:p>
    <w:sectPr>
      <w:headerReference r:id="rId3" w:type="default"/>
      <w:footerReference r:id="rId4" w:type="default"/>
      <w:pgSz w:w="11849" w:h="16781"/>
      <w:pgMar w:top="1417" w:right="1134" w:bottom="1134" w:left="1417" w:header="851" w:footer="992" w:gutter="0"/>
      <w:pgNumType w:start="1"/>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649"/>
        <w:tab w:val="clear" w:pos="4153"/>
      </w:tabs>
    </w:pPr>
    <w:r>
      <w:pict>
        <v:rect id="Rectangle 2" o:spid="_x0000_s4097" o:spt="1" style="position:absolute;left:0pt;margin-top:0pt;height:27.05pt;width:68.65pt;mso-position-horizontal:center;mso-position-horizontal-relative:margin;z-index:251660288;mso-width-relative:page;mso-height-relative:page;" filled="f" stroked="f" coordsize="21600,21600">
          <v:path/>
          <v:fill on="f" focussize="0,0"/>
          <v:stroke on="f"/>
          <v:imagedata o:title=""/>
          <o:lock v:ext="edit" aspectratio="f"/>
          <v:textbox inset="0mm,0mm,0mm,0mm">
            <w:txbxContent>
              <w:p>
                <w:pPr>
                  <w:snapToGrid w:val="0"/>
                  <w:rPr>
                    <w:rFonts w:hint="eastAsia" w:eastAsia="宋体"/>
                    <w:sz w:val="18"/>
                    <w:lang w:val="en-US" w:eastAsia="zh-CN"/>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w:t>
                </w:r>
                <w:r>
                  <w:rPr>
                    <w:rFonts w:hint="eastAsia"/>
                    <w:sz w:val="18"/>
                    <w:lang w:val="en-US" w:eastAsia="zh-CN"/>
                  </w:rPr>
                  <w:t xml:space="preserve"> 3</w:t>
                </w:r>
              </w:p>
            </w:txbxContent>
          </v:textbox>
        </v:rect>
      </w:pict>
    </w:r>
    <w:r>
      <w:pict>
        <v:rect id="文本框 4" o:spid="_x0000_s4098"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snapToGrid w:val="0"/>
                  <w:rPr>
                    <w:sz w:val="18"/>
                  </w:rPr>
                </w:pPr>
              </w:p>
            </w:txbxContent>
          </v:textbox>
        </v:rect>
      </w:pic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jc w:val="both"/>
    </w:pPr>
    <w:r>
      <w:rPr>
        <w:sz w:val="28"/>
        <w:szCs w:val="28"/>
      </w:rPr>
      <w:pict>
        <v:shape id="_x0000_i1025" o:spt="75" type="#_x0000_t75" style="height:14pt;width:52pt;" filled="f" o:preferrelative="t" stroked="f" coordsize="21600,21600">
          <v:path/>
          <v:fill on="f" focussize="0,0"/>
          <v:stroke on="f" joinstyle="miter"/>
          <v:imagedata r:id="rId1" o:title=""/>
          <o:lock v:ext="edit" aspectratio="t"/>
          <w10:wrap type="none"/>
          <w10:anchorlock/>
        </v:shape>
      </w:pict>
    </w:r>
    <w:r>
      <w:rPr>
        <w:rFonts w:hint="eastAsia"/>
        <w:sz w:val="28"/>
        <w:szCs w:val="28"/>
      </w:rPr>
      <w:t xml:space="preserve">       </w:t>
    </w:r>
    <w:r>
      <w:rPr>
        <w:rFonts w:hint="eastAsia"/>
        <w:sz w:val="28"/>
        <w:szCs w:val="28"/>
        <w:lang w:val="en-US" w:eastAsia="zh-CN"/>
      </w:rPr>
      <w:t xml:space="preserve">           ZJTY/CO-QEO-093-2023</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V1</w:t>
    </w:r>
    <w:r>
      <w:rPr>
        <w:rFonts w:hint="eastAsia"/>
        <w:sz w:val="28"/>
        <w:szCs w:val="28"/>
        <w:lang w:val="en-US" w:eastAsia="zh-CN"/>
      </w:rPr>
      <w:t>1</w:t>
    </w:r>
    <w:r>
      <w:rPr>
        <w:rFonts w:hint="eastAsia"/>
        <w:sz w:val="28"/>
        <w:szCs w:val="28"/>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2CC44A"/>
    <w:multiLevelType w:val="singleLevel"/>
    <w:tmpl w:val="432CC44A"/>
    <w:lvl w:ilvl="0" w:tentative="0">
      <w:start w:val="1"/>
      <w:numFmt w:val="decimal"/>
      <w:pStyle w:val="44"/>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8"/>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zVkYjlmMDBjN2U1YjZjMzEwMzJkMGU4MzcyYmQ0MWMifQ=="/>
    <w:docVar w:name="KGWebUrl" w:val="http://172.22.35.10:80/defaultroot/OfficeServer"/>
  </w:docVars>
  <w:rsids>
    <w:rsidRoot w:val="20D8478C"/>
    <w:rsid w:val="000B4E4F"/>
    <w:rsid w:val="00163E68"/>
    <w:rsid w:val="0024374B"/>
    <w:rsid w:val="002A3C6D"/>
    <w:rsid w:val="00341275"/>
    <w:rsid w:val="00355707"/>
    <w:rsid w:val="003743E8"/>
    <w:rsid w:val="00386B74"/>
    <w:rsid w:val="003A6BF5"/>
    <w:rsid w:val="004C54BF"/>
    <w:rsid w:val="00576E50"/>
    <w:rsid w:val="005D506C"/>
    <w:rsid w:val="00602ADC"/>
    <w:rsid w:val="006113B8"/>
    <w:rsid w:val="00665044"/>
    <w:rsid w:val="006A00AD"/>
    <w:rsid w:val="00725770"/>
    <w:rsid w:val="007469C9"/>
    <w:rsid w:val="0081419C"/>
    <w:rsid w:val="00843289"/>
    <w:rsid w:val="00862FC3"/>
    <w:rsid w:val="008723E8"/>
    <w:rsid w:val="008738C4"/>
    <w:rsid w:val="009B4D8E"/>
    <w:rsid w:val="009F168B"/>
    <w:rsid w:val="00A05515"/>
    <w:rsid w:val="00A34F27"/>
    <w:rsid w:val="00A737B2"/>
    <w:rsid w:val="00B512B1"/>
    <w:rsid w:val="00BB1641"/>
    <w:rsid w:val="00BC1E5B"/>
    <w:rsid w:val="00C363C8"/>
    <w:rsid w:val="00C823C4"/>
    <w:rsid w:val="00D03876"/>
    <w:rsid w:val="00D96B60"/>
    <w:rsid w:val="00DE7570"/>
    <w:rsid w:val="00E26432"/>
    <w:rsid w:val="00E34540"/>
    <w:rsid w:val="00E8182C"/>
    <w:rsid w:val="00EB05B7"/>
    <w:rsid w:val="00F167D6"/>
    <w:rsid w:val="00F16B1D"/>
    <w:rsid w:val="00F2184B"/>
    <w:rsid w:val="00F27BE8"/>
    <w:rsid w:val="00FA3779"/>
    <w:rsid w:val="00FA7205"/>
    <w:rsid w:val="00FD7DFC"/>
    <w:rsid w:val="010D5FC6"/>
    <w:rsid w:val="016B05D4"/>
    <w:rsid w:val="01A20482"/>
    <w:rsid w:val="01D11587"/>
    <w:rsid w:val="02227115"/>
    <w:rsid w:val="02323BAA"/>
    <w:rsid w:val="02B93CEC"/>
    <w:rsid w:val="02DE1086"/>
    <w:rsid w:val="03141FAE"/>
    <w:rsid w:val="0333594B"/>
    <w:rsid w:val="03942A31"/>
    <w:rsid w:val="03C860FC"/>
    <w:rsid w:val="040E534A"/>
    <w:rsid w:val="04492F15"/>
    <w:rsid w:val="04967360"/>
    <w:rsid w:val="04991D9B"/>
    <w:rsid w:val="04C02F18"/>
    <w:rsid w:val="04F85637"/>
    <w:rsid w:val="050605D6"/>
    <w:rsid w:val="05843AE0"/>
    <w:rsid w:val="05FD7660"/>
    <w:rsid w:val="060B171E"/>
    <w:rsid w:val="067B3A34"/>
    <w:rsid w:val="06DB6585"/>
    <w:rsid w:val="06DF21A4"/>
    <w:rsid w:val="06E25F43"/>
    <w:rsid w:val="070D149F"/>
    <w:rsid w:val="07A6619A"/>
    <w:rsid w:val="07D2051C"/>
    <w:rsid w:val="08074F3A"/>
    <w:rsid w:val="084D31AF"/>
    <w:rsid w:val="085A56C4"/>
    <w:rsid w:val="089D3628"/>
    <w:rsid w:val="090076D0"/>
    <w:rsid w:val="09026457"/>
    <w:rsid w:val="0A6A4724"/>
    <w:rsid w:val="0AB4389F"/>
    <w:rsid w:val="0ADC375E"/>
    <w:rsid w:val="0AE20526"/>
    <w:rsid w:val="0B505490"/>
    <w:rsid w:val="0BA9330D"/>
    <w:rsid w:val="0BD75116"/>
    <w:rsid w:val="0C9308B1"/>
    <w:rsid w:val="0CBA248E"/>
    <w:rsid w:val="0CEA12C0"/>
    <w:rsid w:val="0D192D09"/>
    <w:rsid w:val="0D1A5D55"/>
    <w:rsid w:val="0D542BF8"/>
    <w:rsid w:val="0D9A669A"/>
    <w:rsid w:val="0E1B4EB5"/>
    <w:rsid w:val="0E656B51"/>
    <w:rsid w:val="0FC72972"/>
    <w:rsid w:val="0FD203EE"/>
    <w:rsid w:val="0FDC3811"/>
    <w:rsid w:val="0FF63FA6"/>
    <w:rsid w:val="105A2B1E"/>
    <w:rsid w:val="10B85FB1"/>
    <w:rsid w:val="11440BE5"/>
    <w:rsid w:val="1239226F"/>
    <w:rsid w:val="12B75DF4"/>
    <w:rsid w:val="12C1034F"/>
    <w:rsid w:val="133D2F1E"/>
    <w:rsid w:val="13A762D9"/>
    <w:rsid w:val="14186D67"/>
    <w:rsid w:val="1441006B"/>
    <w:rsid w:val="14F13869"/>
    <w:rsid w:val="15097BA6"/>
    <w:rsid w:val="153E45AB"/>
    <w:rsid w:val="1558696D"/>
    <w:rsid w:val="15A75916"/>
    <w:rsid w:val="16797E6D"/>
    <w:rsid w:val="169E3E87"/>
    <w:rsid w:val="16A67B9D"/>
    <w:rsid w:val="16E95E5F"/>
    <w:rsid w:val="16EB6EA7"/>
    <w:rsid w:val="16F7653D"/>
    <w:rsid w:val="173730C2"/>
    <w:rsid w:val="173E5632"/>
    <w:rsid w:val="174D3EBA"/>
    <w:rsid w:val="17FE35E4"/>
    <w:rsid w:val="182868AE"/>
    <w:rsid w:val="184E6AEE"/>
    <w:rsid w:val="188C1E56"/>
    <w:rsid w:val="18926A55"/>
    <w:rsid w:val="18A05273"/>
    <w:rsid w:val="18A961DF"/>
    <w:rsid w:val="18C17966"/>
    <w:rsid w:val="18D86A52"/>
    <w:rsid w:val="18EC3C9C"/>
    <w:rsid w:val="1903712B"/>
    <w:rsid w:val="192432CE"/>
    <w:rsid w:val="192E2ED6"/>
    <w:rsid w:val="195103CE"/>
    <w:rsid w:val="19E337F1"/>
    <w:rsid w:val="19E971DB"/>
    <w:rsid w:val="1AC474F7"/>
    <w:rsid w:val="1AF4721F"/>
    <w:rsid w:val="1AF91F50"/>
    <w:rsid w:val="1B341898"/>
    <w:rsid w:val="1BA90A6F"/>
    <w:rsid w:val="1BC33B81"/>
    <w:rsid w:val="1BEA4D5B"/>
    <w:rsid w:val="1C1C76E4"/>
    <w:rsid w:val="1C2978F3"/>
    <w:rsid w:val="1C2E35CB"/>
    <w:rsid w:val="1C833C55"/>
    <w:rsid w:val="1C93646E"/>
    <w:rsid w:val="1CC26FBD"/>
    <w:rsid w:val="1CE94C7E"/>
    <w:rsid w:val="1D5907B5"/>
    <w:rsid w:val="1D8F0099"/>
    <w:rsid w:val="1DAD5D06"/>
    <w:rsid w:val="1DBE7C8B"/>
    <w:rsid w:val="1E1453E0"/>
    <w:rsid w:val="1E420733"/>
    <w:rsid w:val="1E8F4FAF"/>
    <w:rsid w:val="1E95273B"/>
    <w:rsid w:val="1EA1074C"/>
    <w:rsid w:val="1ED35AA3"/>
    <w:rsid w:val="1F4C795C"/>
    <w:rsid w:val="20177D4F"/>
    <w:rsid w:val="201E69BF"/>
    <w:rsid w:val="2038536A"/>
    <w:rsid w:val="20D8478C"/>
    <w:rsid w:val="20E0427F"/>
    <w:rsid w:val="21110C7A"/>
    <w:rsid w:val="21B75459"/>
    <w:rsid w:val="21BE2CF0"/>
    <w:rsid w:val="22177DFE"/>
    <w:rsid w:val="22214E8B"/>
    <w:rsid w:val="22C6341A"/>
    <w:rsid w:val="22E53CCF"/>
    <w:rsid w:val="23050980"/>
    <w:rsid w:val="231118C6"/>
    <w:rsid w:val="23227E8C"/>
    <w:rsid w:val="232626B3"/>
    <w:rsid w:val="238C7BEF"/>
    <w:rsid w:val="238F08E6"/>
    <w:rsid w:val="23D902C0"/>
    <w:rsid w:val="246B6FCE"/>
    <w:rsid w:val="25CA3897"/>
    <w:rsid w:val="25E84169"/>
    <w:rsid w:val="25F22C08"/>
    <w:rsid w:val="25F737A2"/>
    <w:rsid w:val="264B61DF"/>
    <w:rsid w:val="265B54B1"/>
    <w:rsid w:val="26A9378A"/>
    <w:rsid w:val="26E25459"/>
    <w:rsid w:val="27180F8A"/>
    <w:rsid w:val="274A634F"/>
    <w:rsid w:val="27CB31D8"/>
    <w:rsid w:val="280276BA"/>
    <w:rsid w:val="2859360E"/>
    <w:rsid w:val="28671BFE"/>
    <w:rsid w:val="291273E1"/>
    <w:rsid w:val="293A0E30"/>
    <w:rsid w:val="2973448D"/>
    <w:rsid w:val="29AB746F"/>
    <w:rsid w:val="2A083830"/>
    <w:rsid w:val="2A1A321E"/>
    <w:rsid w:val="2AAC3534"/>
    <w:rsid w:val="2AED757D"/>
    <w:rsid w:val="2AF12700"/>
    <w:rsid w:val="2AF31486"/>
    <w:rsid w:val="2B242A0D"/>
    <w:rsid w:val="2B3D6769"/>
    <w:rsid w:val="2B586C2C"/>
    <w:rsid w:val="2BB6251C"/>
    <w:rsid w:val="2BDE6F49"/>
    <w:rsid w:val="2C004B0E"/>
    <w:rsid w:val="2C156FDF"/>
    <w:rsid w:val="2C484737"/>
    <w:rsid w:val="2C4F1DFB"/>
    <w:rsid w:val="2C734AAF"/>
    <w:rsid w:val="2CD05FD9"/>
    <w:rsid w:val="2D1A3CE9"/>
    <w:rsid w:val="2D29390E"/>
    <w:rsid w:val="2D4F5A62"/>
    <w:rsid w:val="2D616207"/>
    <w:rsid w:val="2D7E205A"/>
    <w:rsid w:val="2D8D3349"/>
    <w:rsid w:val="2DD82143"/>
    <w:rsid w:val="2E3D1E67"/>
    <w:rsid w:val="2E721D50"/>
    <w:rsid w:val="2E7D64D4"/>
    <w:rsid w:val="2EE03241"/>
    <w:rsid w:val="2F182458"/>
    <w:rsid w:val="2F244620"/>
    <w:rsid w:val="2F364819"/>
    <w:rsid w:val="2F46011B"/>
    <w:rsid w:val="2FA07530"/>
    <w:rsid w:val="2FC7087A"/>
    <w:rsid w:val="2FC71915"/>
    <w:rsid w:val="2FCC43AF"/>
    <w:rsid w:val="300701D9"/>
    <w:rsid w:val="301349D9"/>
    <w:rsid w:val="302A3C11"/>
    <w:rsid w:val="313047C4"/>
    <w:rsid w:val="31561A62"/>
    <w:rsid w:val="31D461CB"/>
    <w:rsid w:val="31F44517"/>
    <w:rsid w:val="329B783A"/>
    <w:rsid w:val="32CF5169"/>
    <w:rsid w:val="32FC32C3"/>
    <w:rsid w:val="331D2CEA"/>
    <w:rsid w:val="337F011F"/>
    <w:rsid w:val="339C626B"/>
    <w:rsid w:val="33A22F43"/>
    <w:rsid w:val="33DC783F"/>
    <w:rsid w:val="33F26482"/>
    <w:rsid w:val="34101EA9"/>
    <w:rsid w:val="34312C42"/>
    <w:rsid w:val="343B467F"/>
    <w:rsid w:val="35170A3E"/>
    <w:rsid w:val="356E797C"/>
    <w:rsid w:val="3599588C"/>
    <w:rsid w:val="35DC154A"/>
    <w:rsid w:val="35E05D71"/>
    <w:rsid w:val="35FC44E4"/>
    <w:rsid w:val="362A0574"/>
    <w:rsid w:val="365B56BB"/>
    <w:rsid w:val="36661182"/>
    <w:rsid w:val="36716136"/>
    <w:rsid w:val="36B129D7"/>
    <w:rsid w:val="36D1697E"/>
    <w:rsid w:val="36DD0145"/>
    <w:rsid w:val="378157EE"/>
    <w:rsid w:val="37BF0805"/>
    <w:rsid w:val="37D72629"/>
    <w:rsid w:val="38710629"/>
    <w:rsid w:val="387B27FC"/>
    <w:rsid w:val="38975BFC"/>
    <w:rsid w:val="389865CB"/>
    <w:rsid w:val="38A30A78"/>
    <w:rsid w:val="38C37B61"/>
    <w:rsid w:val="397B0F39"/>
    <w:rsid w:val="39B8075C"/>
    <w:rsid w:val="39D25564"/>
    <w:rsid w:val="3A503F72"/>
    <w:rsid w:val="3A8328DC"/>
    <w:rsid w:val="3A88347D"/>
    <w:rsid w:val="3A900623"/>
    <w:rsid w:val="3AB54FE0"/>
    <w:rsid w:val="3AE315CD"/>
    <w:rsid w:val="3B0D7B84"/>
    <w:rsid w:val="3B7822BF"/>
    <w:rsid w:val="3B7905A1"/>
    <w:rsid w:val="3BA40D5C"/>
    <w:rsid w:val="3BBD1E1E"/>
    <w:rsid w:val="3BC83BA3"/>
    <w:rsid w:val="3C43615A"/>
    <w:rsid w:val="3C7704C4"/>
    <w:rsid w:val="3C7B515B"/>
    <w:rsid w:val="3CA8158F"/>
    <w:rsid w:val="3CE735D9"/>
    <w:rsid w:val="3D033860"/>
    <w:rsid w:val="3D6B3766"/>
    <w:rsid w:val="3D955418"/>
    <w:rsid w:val="3DAE1461"/>
    <w:rsid w:val="3E09759C"/>
    <w:rsid w:val="3E1C1796"/>
    <w:rsid w:val="3E355E9B"/>
    <w:rsid w:val="3E65226D"/>
    <w:rsid w:val="3F036BD4"/>
    <w:rsid w:val="3FEB7BE1"/>
    <w:rsid w:val="401A4DB7"/>
    <w:rsid w:val="407D2EE6"/>
    <w:rsid w:val="40D91972"/>
    <w:rsid w:val="40DC4AF4"/>
    <w:rsid w:val="414B7AAF"/>
    <w:rsid w:val="41960202"/>
    <w:rsid w:val="41D7484C"/>
    <w:rsid w:val="41E56273"/>
    <w:rsid w:val="423A60B6"/>
    <w:rsid w:val="42876CE2"/>
    <w:rsid w:val="42C8119D"/>
    <w:rsid w:val="42C85330"/>
    <w:rsid w:val="42D96EB9"/>
    <w:rsid w:val="43C348B8"/>
    <w:rsid w:val="43D47D05"/>
    <w:rsid w:val="442A5561"/>
    <w:rsid w:val="443F1622"/>
    <w:rsid w:val="4467501D"/>
    <w:rsid w:val="446C2633"/>
    <w:rsid w:val="44806830"/>
    <w:rsid w:val="44A3091C"/>
    <w:rsid w:val="44B34622"/>
    <w:rsid w:val="45240FFC"/>
    <w:rsid w:val="452B420A"/>
    <w:rsid w:val="45457B1F"/>
    <w:rsid w:val="45485D39"/>
    <w:rsid w:val="46753ABF"/>
    <w:rsid w:val="46AE6930"/>
    <w:rsid w:val="47121B89"/>
    <w:rsid w:val="471465EF"/>
    <w:rsid w:val="473A4323"/>
    <w:rsid w:val="476A10AC"/>
    <w:rsid w:val="47BE57BC"/>
    <w:rsid w:val="47D87E18"/>
    <w:rsid w:val="48405A16"/>
    <w:rsid w:val="48570948"/>
    <w:rsid w:val="48D32A07"/>
    <w:rsid w:val="48D55F0A"/>
    <w:rsid w:val="49553696"/>
    <w:rsid w:val="496557F9"/>
    <w:rsid w:val="49F16302"/>
    <w:rsid w:val="49FC7FB5"/>
    <w:rsid w:val="4A1043AB"/>
    <w:rsid w:val="4A8B1D58"/>
    <w:rsid w:val="4A952AA8"/>
    <w:rsid w:val="4ADE57B4"/>
    <w:rsid w:val="4AF30483"/>
    <w:rsid w:val="4B1367B9"/>
    <w:rsid w:val="4C2D2789"/>
    <w:rsid w:val="4C3457E4"/>
    <w:rsid w:val="4C93212D"/>
    <w:rsid w:val="4CC90409"/>
    <w:rsid w:val="4CE93644"/>
    <w:rsid w:val="4CEA1D09"/>
    <w:rsid w:val="4DF44B31"/>
    <w:rsid w:val="4E85323E"/>
    <w:rsid w:val="4EAC6020"/>
    <w:rsid w:val="4EB46CAF"/>
    <w:rsid w:val="4F4971A3"/>
    <w:rsid w:val="4F5706B7"/>
    <w:rsid w:val="4F6D7A4C"/>
    <w:rsid w:val="4F9C201E"/>
    <w:rsid w:val="50551061"/>
    <w:rsid w:val="506F07E9"/>
    <w:rsid w:val="50AC194C"/>
    <w:rsid w:val="50C8299F"/>
    <w:rsid w:val="5166513F"/>
    <w:rsid w:val="518E3B5A"/>
    <w:rsid w:val="51B82A14"/>
    <w:rsid w:val="51DC4954"/>
    <w:rsid w:val="521C7446"/>
    <w:rsid w:val="5252299E"/>
    <w:rsid w:val="52553170"/>
    <w:rsid w:val="52842DDA"/>
    <w:rsid w:val="53776EFD"/>
    <w:rsid w:val="5394125E"/>
    <w:rsid w:val="53F965FE"/>
    <w:rsid w:val="54064A44"/>
    <w:rsid w:val="540F2D78"/>
    <w:rsid w:val="54135C87"/>
    <w:rsid w:val="54520897"/>
    <w:rsid w:val="554A487A"/>
    <w:rsid w:val="554D74D6"/>
    <w:rsid w:val="55563F10"/>
    <w:rsid w:val="558D22AF"/>
    <w:rsid w:val="559B337F"/>
    <w:rsid w:val="55A171A1"/>
    <w:rsid w:val="55E118F5"/>
    <w:rsid w:val="55E4287A"/>
    <w:rsid w:val="55FB249F"/>
    <w:rsid w:val="55FC469E"/>
    <w:rsid w:val="562D06F0"/>
    <w:rsid w:val="56FD3805"/>
    <w:rsid w:val="570B5142"/>
    <w:rsid w:val="573324F3"/>
    <w:rsid w:val="57342B3C"/>
    <w:rsid w:val="578909AC"/>
    <w:rsid w:val="57AB24A5"/>
    <w:rsid w:val="57BB2A1F"/>
    <w:rsid w:val="57CA0B13"/>
    <w:rsid w:val="57E60D46"/>
    <w:rsid w:val="57F55520"/>
    <w:rsid w:val="58712EA8"/>
    <w:rsid w:val="58CC04D1"/>
    <w:rsid w:val="59546271"/>
    <w:rsid w:val="59D41402"/>
    <w:rsid w:val="59D415AF"/>
    <w:rsid w:val="5A566D34"/>
    <w:rsid w:val="5A665BB4"/>
    <w:rsid w:val="5A7F7703"/>
    <w:rsid w:val="5AE045F6"/>
    <w:rsid w:val="5B0E1DA1"/>
    <w:rsid w:val="5B3D0A3D"/>
    <w:rsid w:val="5B455E49"/>
    <w:rsid w:val="5B615779"/>
    <w:rsid w:val="5BD34537"/>
    <w:rsid w:val="5BE05104"/>
    <w:rsid w:val="5BEF1728"/>
    <w:rsid w:val="5C494506"/>
    <w:rsid w:val="5C9E763C"/>
    <w:rsid w:val="5C9F2C03"/>
    <w:rsid w:val="5CA42136"/>
    <w:rsid w:val="5CF97119"/>
    <w:rsid w:val="5D851BFC"/>
    <w:rsid w:val="5DB239C4"/>
    <w:rsid w:val="5E162C78"/>
    <w:rsid w:val="5E9B7F50"/>
    <w:rsid w:val="5EA842DD"/>
    <w:rsid w:val="5ECB1034"/>
    <w:rsid w:val="5EF808F3"/>
    <w:rsid w:val="5F40475C"/>
    <w:rsid w:val="5FAF115C"/>
    <w:rsid w:val="60327AC7"/>
    <w:rsid w:val="605E44F7"/>
    <w:rsid w:val="60651DD9"/>
    <w:rsid w:val="608B680F"/>
    <w:rsid w:val="609936C4"/>
    <w:rsid w:val="60A578D5"/>
    <w:rsid w:val="60DB1C40"/>
    <w:rsid w:val="613A550F"/>
    <w:rsid w:val="6198112C"/>
    <w:rsid w:val="61996BAE"/>
    <w:rsid w:val="61C60977"/>
    <w:rsid w:val="61E44162"/>
    <w:rsid w:val="620F4796"/>
    <w:rsid w:val="625A76CE"/>
    <w:rsid w:val="62912DE2"/>
    <w:rsid w:val="62990808"/>
    <w:rsid w:val="63546E84"/>
    <w:rsid w:val="6367429A"/>
    <w:rsid w:val="63FC4484"/>
    <w:rsid w:val="64047C42"/>
    <w:rsid w:val="64234664"/>
    <w:rsid w:val="64502F80"/>
    <w:rsid w:val="6502488D"/>
    <w:rsid w:val="651D7774"/>
    <w:rsid w:val="65755C04"/>
    <w:rsid w:val="65891022"/>
    <w:rsid w:val="65963FB2"/>
    <w:rsid w:val="65E01A30"/>
    <w:rsid w:val="65EF142B"/>
    <w:rsid w:val="65F869C6"/>
    <w:rsid w:val="663319D6"/>
    <w:rsid w:val="665B4BFD"/>
    <w:rsid w:val="668C53CC"/>
    <w:rsid w:val="66A23F5A"/>
    <w:rsid w:val="66AA4BC9"/>
    <w:rsid w:val="66D1263E"/>
    <w:rsid w:val="66E71979"/>
    <w:rsid w:val="670B151E"/>
    <w:rsid w:val="678655E4"/>
    <w:rsid w:val="6788436B"/>
    <w:rsid w:val="67973300"/>
    <w:rsid w:val="67B72D91"/>
    <w:rsid w:val="67CE1C94"/>
    <w:rsid w:val="695D76A5"/>
    <w:rsid w:val="69990019"/>
    <w:rsid w:val="699D732F"/>
    <w:rsid w:val="69B97B02"/>
    <w:rsid w:val="69C266CE"/>
    <w:rsid w:val="69D71A62"/>
    <w:rsid w:val="6A8001CE"/>
    <w:rsid w:val="6B0E4BB1"/>
    <w:rsid w:val="6B421B88"/>
    <w:rsid w:val="6B562DA7"/>
    <w:rsid w:val="6B7C465A"/>
    <w:rsid w:val="6B873576"/>
    <w:rsid w:val="6BEA5819"/>
    <w:rsid w:val="6C7D060B"/>
    <w:rsid w:val="6D241DB5"/>
    <w:rsid w:val="6D9336A8"/>
    <w:rsid w:val="6DE318F2"/>
    <w:rsid w:val="6E0D7A9C"/>
    <w:rsid w:val="6E30740C"/>
    <w:rsid w:val="6EB34837"/>
    <w:rsid w:val="6EE83776"/>
    <w:rsid w:val="6F0331BA"/>
    <w:rsid w:val="6F1E67E4"/>
    <w:rsid w:val="6F2474E3"/>
    <w:rsid w:val="6F4E132A"/>
    <w:rsid w:val="6F5B51C0"/>
    <w:rsid w:val="6F813023"/>
    <w:rsid w:val="6FD12C00"/>
    <w:rsid w:val="6FF041BE"/>
    <w:rsid w:val="702E5103"/>
    <w:rsid w:val="706D2A7F"/>
    <w:rsid w:val="7073382E"/>
    <w:rsid w:val="7106498A"/>
    <w:rsid w:val="710F68B9"/>
    <w:rsid w:val="71493231"/>
    <w:rsid w:val="715D5C0A"/>
    <w:rsid w:val="719B7F30"/>
    <w:rsid w:val="71BC62F1"/>
    <w:rsid w:val="72294059"/>
    <w:rsid w:val="722E4900"/>
    <w:rsid w:val="723E10E3"/>
    <w:rsid w:val="73376251"/>
    <w:rsid w:val="74547E66"/>
    <w:rsid w:val="7455116B"/>
    <w:rsid w:val="7489018F"/>
    <w:rsid w:val="748B5DC2"/>
    <w:rsid w:val="74987675"/>
    <w:rsid w:val="74A451B2"/>
    <w:rsid w:val="750D091A"/>
    <w:rsid w:val="756D1BE3"/>
    <w:rsid w:val="75A2558A"/>
    <w:rsid w:val="75C116C2"/>
    <w:rsid w:val="75DD7938"/>
    <w:rsid w:val="76316C73"/>
    <w:rsid w:val="7641772F"/>
    <w:rsid w:val="76456D4A"/>
    <w:rsid w:val="765C023B"/>
    <w:rsid w:val="76963DF7"/>
    <w:rsid w:val="77397089"/>
    <w:rsid w:val="77651D73"/>
    <w:rsid w:val="777C4360"/>
    <w:rsid w:val="779654F9"/>
    <w:rsid w:val="77D00E68"/>
    <w:rsid w:val="77DF3E04"/>
    <w:rsid w:val="784D3606"/>
    <w:rsid w:val="785E7FB8"/>
    <w:rsid w:val="787C3AB9"/>
    <w:rsid w:val="78CD576C"/>
    <w:rsid w:val="78D87374"/>
    <w:rsid w:val="792E51E6"/>
    <w:rsid w:val="798B16F8"/>
    <w:rsid w:val="79E64B5E"/>
    <w:rsid w:val="7A275A70"/>
    <w:rsid w:val="7A554C39"/>
    <w:rsid w:val="7A842F2F"/>
    <w:rsid w:val="7A877F10"/>
    <w:rsid w:val="7AB80E65"/>
    <w:rsid w:val="7AD41939"/>
    <w:rsid w:val="7AF6674C"/>
    <w:rsid w:val="7B190AA7"/>
    <w:rsid w:val="7B8437E3"/>
    <w:rsid w:val="7BD13B30"/>
    <w:rsid w:val="7BD328B6"/>
    <w:rsid w:val="7BD37033"/>
    <w:rsid w:val="7BDE0C48"/>
    <w:rsid w:val="7C106E98"/>
    <w:rsid w:val="7C405469"/>
    <w:rsid w:val="7C4A5D24"/>
    <w:rsid w:val="7C8512A1"/>
    <w:rsid w:val="7CD62652"/>
    <w:rsid w:val="7D567401"/>
    <w:rsid w:val="7D7D673C"/>
    <w:rsid w:val="7DC477E3"/>
    <w:rsid w:val="7DC6656A"/>
    <w:rsid w:val="7E3F04EE"/>
    <w:rsid w:val="7E755E7F"/>
    <w:rsid w:val="7EA34C53"/>
    <w:rsid w:val="7F294B2C"/>
    <w:rsid w:val="7FBF3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iPriority="99" w:semiHidden="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left" w:pos="420"/>
      </w:tabs>
    </w:pPr>
    <w:rPr>
      <w:rFonts w:ascii="Calibri" w:hAnsi="Calibri" w:eastAsia="宋体" w:cs="Times New Roman"/>
      <w:sz w:val="21"/>
      <w:lang w:val="en-US" w:eastAsia="zh-CN" w:bidi="ar-SA"/>
    </w:rPr>
  </w:style>
  <w:style w:type="paragraph" w:styleId="2">
    <w:name w:val="heading 1"/>
    <w:basedOn w:val="1"/>
    <w:next w:val="1"/>
    <w:qFormat/>
    <w:uiPriority w:val="0"/>
    <w:pPr>
      <w:keepNext/>
      <w:keepLines/>
      <w:spacing w:before="340" w:after="330" w:line="578" w:lineRule="auto"/>
      <w:outlineLvl w:val="0"/>
    </w:pPr>
    <w:rPr>
      <w:kern w:val="44"/>
      <w:sz w:val="24"/>
      <w:szCs w:val="4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ind w:left="2520"/>
    </w:pPr>
  </w:style>
  <w:style w:type="paragraph" w:styleId="4">
    <w:name w:val="annotation text"/>
    <w:basedOn w:val="1"/>
    <w:link w:val="49"/>
    <w:unhideWhenUsed/>
    <w:qFormat/>
    <w:uiPriority w:val="99"/>
  </w:style>
  <w:style w:type="paragraph" w:styleId="5">
    <w:name w:val="Body Text"/>
    <w:basedOn w:val="1"/>
    <w:unhideWhenUsed/>
    <w:qFormat/>
    <w:uiPriority w:val="99"/>
    <w:pPr>
      <w:ind w:left="920" w:right="1263"/>
    </w:pPr>
    <w:rPr>
      <w:sz w:val="28"/>
      <w:szCs w:val="28"/>
    </w:rPr>
  </w:style>
  <w:style w:type="paragraph" w:styleId="6">
    <w:name w:val="toc 5"/>
    <w:basedOn w:val="1"/>
    <w:next w:val="1"/>
    <w:unhideWhenUsed/>
    <w:qFormat/>
    <w:uiPriority w:val="39"/>
    <w:pPr>
      <w:ind w:left="1680"/>
    </w:pPr>
  </w:style>
  <w:style w:type="paragraph" w:styleId="7">
    <w:name w:val="toc 3"/>
    <w:basedOn w:val="1"/>
    <w:next w:val="1"/>
    <w:unhideWhenUsed/>
    <w:qFormat/>
    <w:uiPriority w:val="39"/>
    <w:pPr>
      <w:ind w:left="840"/>
    </w:pPr>
  </w:style>
  <w:style w:type="paragraph" w:styleId="8">
    <w:name w:val="toc 8"/>
    <w:basedOn w:val="1"/>
    <w:next w:val="1"/>
    <w:unhideWhenUsed/>
    <w:qFormat/>
    <w:uiPriority w:val="39"/>
    <w:pPr>
      <w:ind w:left="2940"/>
    </w:pPr>
  </w:style>
  <w:style w:type="paragraph" w:styleId="9">
    <w:name w:val="Balloon Text"/>
    <w:basedOn w:val="1"/>
    <w:link w:val="48"/>
    <w:unhideWhenUsed/>
    <w:qFormat/>
    <w:uiPriority w:val="99"/>
    <w:rPr>
      <w:sz w:val="18"/>
      <w:szCs w:val="18"/>
    </w:rPr>
  </w:style>
  <w:style w:type="paragraph" w:styleId="10">
    <w:name w:val="footer"/>
    <w:basedOn w:val="1"/>
    <w:unhideWhenUsed/>
    <w:qFormat/>
    <w:uiPriority w:val="0"/>
    <w:pPr>
      <w:tabs>
        <w:tab w:val="center" w:pos="4153"/>
        <w:tab w:val="right" w:pos="8306"/>
        <w:tab w:val="clear" w:pos="420"/>
      </w:tabs>
      <w:snapToGrid w:val="0"/>
    </w:pPr>
    <w:rPr>
      <w:sz w:val="18"/>
      <w:szCs w:val="18"/>
    </w:rPr>
  </w:style>
  <w:style w:type="paragraph" w:styleId="11">
    <w:name w:val="header"/>
    <w:basedOn w:val="1"/>
    <w:unhideWhenUsed/>
    <w:qFormat/>
    <w:uiPriority w:val="0"/>
    <w:pPr>
      <w:pBdr>
        <w:bottom w:val="single" w:color="auto" w:sz="6" w:space="1"/>
      </w:pBdr>
      <w:tabs>
        <w:tab w:val="center" w:pos="4153"/>
        <w:tab w:val="right" w:pos="8306"/>
        <w:tab w:val="clear" w:pos="420"/>
      </w:tabs>
      <w:snapToGrid w:val="0"/>
      <w:jc w:val="center"/>
    </w:pPr>
    <w:rPr>
      <w:sz w:val="18"/>
      <w:szCs w:val="18"/>
    </w:rPr>
  </w:style>
  <w:style w:type="paragraph" w:styleId="12">
    <w:name w:val="toc 1"/>
    <w:basedOn w:val="1"/>
    <w:next w:val="1"/>
    <w:unhideWhenUsed/>
    <w:qFormat/>
    <w:uiPriority w:val="39"/>
  </w:style>
  <w:style w:type="paragraph" w:styleId="13">
    <w:name w:val="toc 4"/>
    <w:basedOn w:val="1"/>
    <w:next w:val="1"/>
    <w:unhideWhenUsed/>
    <w:qFormat/>
    <w:uiPriority w:val="39"/>
    <w:pPr>
      <w:ind w:left="1260"/>
    </w:pPr>
  </w:style>
  <w:style w:type="paragraph" w:styleId="14">
    <w:name w:val="Subtitle"/>
    <w:basedOn w:val="1"/>
    <w:qFormat/>
    <w:uiPriority w:val="0"/>
    <w:rPr>
      <w:i/>
      <w:color w:val="4F81BD"/>
      <w:sz w:val="24"/>
    </w:rPr>
  </w:style>
  <w:style w:type="paragraph" w:styleId="15">
    <w:name w:val="toc 6"/>
    <w:basedOn w:val="1"/>
    <w:next w:val="1"/>
    <w:unhideWhenUsed/>
    <w:qFormat/>
    <w:uiPriority w:val="39"/>
    <w:pPr>
      <w:ind w:left="2100"/>
    </w:pPr>
  </w:style>
  <w:style w:type="paragraph" w:styleId="16">
    <w:name w:val="toc 2"/>
    <w:basedOn w:val="1"/>
    <w:next w:val="1"/>
    <w:unhideWhenUsed/>
    <w:qFormat/>
    <w:uiPriority w:val="39"/>
    <w:pPr>
      <w:ind w:left="420"/>
    </w:pPr>
  </w:style>
  <w:style w:type="paragraph" w:styleId="17">
    <w:name w:val="toc 9"/>
    <w:basedOn w:val="1"/>
    <w:next w:val="1"/>
    <w:unhideWhenUsed/>
    <w:qFormat/>
    <w:uiPriority w:val="39"/>
    <w:pPr>
      <w:ind w:left="3360"/>
    </w:pPr>
  </w:style>
  <w:style w:type="paragraph" w:styleId="18">
    <w:name w:val="Normal (Web)"/>
    <w:basedOn w:val="1"/>
    <w:unhideWhenUsed/>
    <w:qFormat/>
    <w:uiPriority w:val="99"/>
    <w:pPr>
      <w:adjustRightInd w:val="0"/>
      <w:spacing w:line="312" w:lineRule="atLeast"/>
      <w:textAlignment w:val="baseline"/>
    </w:pPr>
    <w:rPr>
      <w:rFonts w:ascii="宋体" w:hAnsi="宋体" w:cs="宋体"/>
      <w:sz w:val="24"/>
    </w:rPr>
  </w:style>
  <w:style w:type="paragraph" w:styleId="19">
    <w:name w:val="Title"/>
    <w:basedOn w:val="1"/>
    <w:qFormat/>
    <w:uiPriority w:val="0"/>
    <w:pPr>
      <w:spacing w:after="300"/>
    </w:pPr>
    <w:rPr>
      <w:color w:val="17365D"/>
      <w:sz w:val="52"/>
    </w:rPr>
  </w:style>
  <w:style w:type="paragraph" w:styleId="20">
    <w:name w:val="annotation subject"/>
    <w:basedOn w:val="4"/>
    <w:next w:val="4"/>
    <w:link w:val="50"/>
    <w:unhideWhenUsed/>
    <w:qFormat/>
    <w:uiPriority w:val="99"/>
    <w:rPr>
      <w:b/>
      <w:bCs/>
    </w:rPr>
  </w:style>
  <w:style w:type="table" w:styleId="22">
    <w:name w:val="Table Grid"/>
    <w:basedOn w:val="21"/>
    <w:qFormat/>
    <w:uiPriority w:val="59"/>
    <w:pPr>
      <w:tabs>
        <w:tab w:val="left" w:pos="420"/>
      </w:tab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nhideWhenUsed/>
    <w:qFormat/>
    <w:uiPriority w:val="99"/>
    <w:rPr>
      <w:color w:val="0000FF"/>
      <w:u w:val="single"/>
    </w:rPr>
  </w:style>
  <w:style w:type="character" w:styleId="25">
    <w:name w:val="annotation reference"/>
    <w:basedOn w:val="23"/>
    <w:unhideWhenUsed/>
    <w:qFormat/>
    <w:uiPriority w:val="99"/>
    <w:rPr>
      <w:sz w:val="21"/>
      <w:szCs w:val="21"/>
    </w:rPr>
  </w:style>
  <w:style w:type="paragraph" w:customStyle="1" w:styleId="26">
    <w:name w:val="标题 11"/>
    <w:basedOn w:val="1"/>
    <w:next w:val="1"/>
    <w:link w:val="47"/>
    <w:qFormat/>
    <w:uiPriority w:val="9"/>
    <w:pPr>
      <w:keepNext/>
      <w:keepLines/>
      <w:spacing w:before="340" w:after="330" w:line="576" w:lineRule="auto"/>
      <w:outlineLvl w:val="0"/>
    </w:pPr>
    <w:rPr>
      <w:b/>
      <w:kern w:val="44"/>
      <w:sz w:val="44"/>
    </w:rPr>
  </w:style>
  <w:style w:type="paragraph" w:customStyle="1" w:styleId="27">
    <w:name w:val="标题 21"/>
    <w:basedOn w:val="1"/>
    <w:next w:val="1"/>
    <w:qFormat/>
    <w:uiPriority w:val="9"/>
    <w:pPr>
      <w:keepNext/>
      <w:keepLines/>
      <w:spacing w:before="260" w:after="260" w:line="413" w:lineRule="auto"/>
      <w:outlineLvl w:val="1"/>
    </w:pPr>
    <w:rPr>
      <w:rFonts w:ascii="Arial" w:hAnsi="Arial" w:eastAsia="黑体"/>
      <w:b/>
      <w:sz w:val="32"/>
    </w:rPr>
  </w:style>
  <w:style w:type="paragraph" w:customStyle="1" w:styleId="28">
    <w:name w:val="标题 31"/>
    <w:basedOn w:val="1"/>
    <w:next w:val="1"/>
    <w:qFormat/>
    <w:uiPriority w:val="9"/>
    <w:pPr>
      <w:keepNext/>
      <w:keepLines/>
      <w:spacing w:before="260" w:after="260" w:line="413" w:lineRule="auto"/>
      <w:outlineLvl w:val="2"/>
    </w:pPr>
    <w:rPr>
      <w:b/>
      <w:sz w:val="32"/>
    </w:rPr>
  </w:style>
  <w:style w:type="paragraph" w:customStyle="1" w:styleId="29">
    <w:name w:val="标题 41"/>
    <w:basedOn w:val="1"/>
    <w:next w:val="1"/>
    <w:qFormat/>
    <w:uiPriority w:val="9"/>
    <w:pPr>
      <w:keepNext/>
      <w:spacing w:before="240" w:after="60"/>
      <w:outlineLvl w:val="3"/>
    </w:pPr>
    <w:rPr>
      <w:b/>
      <w:bCs/>
      <w:sz w:val="28"/>
      <w:szCs w:val="28"/>
    </w:rPr>
  </w:style>
  <w:style w:type="paragraph" w:customStyle="1" w:styleId="30">
    <w:name w:val="列表段落1"/>
    <w:basedOn w:val="1"/>
    <w:qFormat/>
    <w:uiPriority w:val="34"/>
    <w:pPr>
      <w:ind w:firstLine="420"/>
    </w:pPr>
  </w:style>
  <w:style w:type="paragraph" w:customStyle="1" w:styleId="31">
    <w:name w:val="WPSOffice手动目录 1"/>
    <w:qFormat/>
    <w:uiPriority w:val="0"/>
    <w:rPr>
      <w:rFonts w:ascii="Calibri" w:hAnsi="Calibri" w:eastAsia="Calibri" w:cs="Times New Roman"/>
      <w:lang w:val="en-US" w:eastAsia="zh-CN" w:bidi="ar-SA"/>
    </w:rPr>
  </w:style>
  <w:style w:type="paragraph" w:customStyle="1" w:styleId="32">
    <w:name w:val="WPSOffice手动目录 2"/>
    <w:qFormat/>
    <w:uiPriority w:val="0"/>
    <w:rPr>
      <w:rFonts w:ascii="Calibri" w:hAnsi="Calibri" w:eastAsia="Calibri" w:cs="Times New Roman"/>
      <w:lang w:val="en-US" w:eastAsia="zh-CN" w:bidi="ar-SA"/>
    </w:rPr>
  </w:style>
  <w:style w:type="paragraph" w:customStyle="1" w:styleId="33">
    <w:name w:val="Heading 11"/>
    <w:basedOn w:val="1"/>
    <w:qFormat/>
    <w:uiPriority w:val="0"/>
    <w:pPr>
      <w:spacing w:before="480"/>
    </w:pPr>
    <w:rPr>
      <w:b/>
      <w:color w:val="345A8A"/>
      <w:sz w:val="32"/>
    </w:rPr>
  </w:style>
  <w:style w:type="paragraph" w:customStyle="1" w:styleId="34">
    <w:name w:val="Heading 21"/>
    <w:basedOn w:val="1"/>
    <w:qFormat/>
    <w:uiPriority w:val="0"/>
    <w:pPr>
      <w:spacing w:before="200"/>
    </w:pPr>
    <w:rPr>
      <w:b/>
      <w:color w:val="4F81BD"/>
      <w:sz w:val="26"/>
    </w:rPr>
  </w:style>
  <w:style w:type="paragraph" w:customStyle="1" w:styleId="35">
    <w:name w:val="Heading 31"/>
    <w:basedOn w:val="1"/>
    <w:qFormat/>
    <w:uiPriority w:val="0"/>
    <w:pPr>
      <w:spacing w:before="200"/>
    </w:pPr>
    <w:rPr>
      <w:b/>
      <w:color w:val="4F81BD"/>
      <w:sz w:val="24"/>
    </w:rPr>
  </w:style>
  <w:style w:type="paragraph" w:customStyle="1" w:styleId="36">
    <w:name w:val="修订1"/>
    <w:hidden/>
    <w:semiHidden/>
    <w:qFormat/>
    <w:uiPriority w:val="99"/>
    <w:rPr>
      <w:rFonts w:ascii="Calibri" w:hAnsi="Calibri" w:eastAsia="Calibri" w:cs="Times New Roman"/>
      <w:lang w:val="en-US" w:eastAsia="zh-CN" w:bidi="ar-SA"/>
    </w:rPr>
  </w:style>
  <w:style w:type="paragraph" w:customStyle="1" w:styleId="37">
    <w:name w:val="标题1"/>
    <w:basedOn w:val="1"/>
    <w:qFormat/>
    <w:uiPriority w:val="0"/>
    <w:pPr>
      <w:snapToGrid w:val="0"/>
      <w:spacing w:before="240" w:beforeLines="100" w:after="240" w:afterLines="100"/>
    </w:pPr>
    <w:rPr>
      <w:rFonts w:ascii="黑体" w:hAnsi="黑体" w:eastAsia="黑体" w:cs="黑体"/>
      <w:color w:val="000000"/>
      <w:sz w:val="32"/>
      <w:szCs w:val="32"/>
    </w:rPr>
  </w:style>
  <w:style w:type="paragraph" w:customStyle="1" w:styleId="38">
    <w:name w:val="_Style 4"/>
    <w:basedOn w:val="1"/>
    <w:qFormat/>
    <w:uiPriority w:val="0"/>
    <w:pPr>
      <w:ind w:firstLine="420" w:firstLineChars="200"/>
    </w:pPr>
    <w:rPr>
      <w:kern w:val="2"/>
      <w:szCs w:val="22"/>
    </w:rPr>
  </w:style>
  <w:style w:type="paragraph" w:customStyle="1" w:styleId="39">
    <w:name w:val="中文2级标题"/>
    <w:basedOn w:val="1"/>
    <w:next w:val="1"/>
    <w:qFormat/>
    <w:uiPriority w:val="0"/>
    <w:pPr>
      <w:keepNext/>
      <w:keepLines/>
      <w:adjustRightInd w:val="0"/>
      <w:snapToGrid w:val="0"/>
      <w:spacing w:beforeLines="50" w:afterLines="50"/>
      <w:outlineLvl w:val="1"/>
    </w:pPr>
    <w:rPr>
      <w:rFonts w:hint="eastAsia" w:ascii="黑体" w:hAnsi="黑体" w:eastAsia="黑体" w:cs="宋体"/>
      <w:color w:val="000000"/>
    </w:rPr>
  </w:style>
  <w:style w:type="paragraph" w:customStyle="1" w:styleId="40">
    <w:name w:val="修订2"/>
    <w:hidden/>
    <w:semiHidden/>
    <w:qFormat/>
    <w:uiPriority w:val="99"/>
    <w:rPr>
      <w:rFonts w:ascii="Calibri" w:hAnsi="Calibri" w:eastAsia="Calibri" w:cs="Times New Roman"/>
      <w:lang w:val="en-US" w:eastAsia="zh-CN" w:bidi="ar-SA"/>
    </w:rPr>
  </w:style>
  <w:style w:type="paragraph" w:customStyle="1" w:styleId="4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
    <w:name w:val="样式 标题 1 + 黑体 加粗 段前: 自动"/>
    <w:basedOn w:val="2"/>
    <w:qFormat/>
    <w:uiPriority w:val="0"/>
    <w:pPr>
      <w:widowControl w:val="0"/>
      <w:adjustRightInd w:val="0"/>
      <w:snapToGrid w:val="0"/>
      <w:spacing w:before="120" w:after="120" w:line="240" w:lineRule="auto"/>
      <w:jc w:val="center"/>
    </w:pPr>
    <w:rPr>
      <w:rFonts w:ascii="黑体" w:hAnsi="黑体" w:eastAsia="黑体" w:cs="宋体"/>
      <w:kern w:val="2"/>
      <w:sz w:val="21"/>
      <w:szCs w:val="20"/>
    </w:rPr>
  </w:style>
  <w:style w:type="paragraph" w:customStyle="1" w:styleId="44">
    <w:name w:val="英文1级标题"/>
    <w:basedOn w:val="1"/>
    <w:qFormat/>
    <w:uiPriority w:val="0"/>
    <w:pPr>
      <w:keepNext/>
      <w:keepLines/>
      <w:numPr>
        <w:ilvl w:val="0"/>
        <w:numId w:val="1"/>
      </w:numPr>
      <w:adjustRightInd w:val="0"/>
      <w:snapToGrid w:val="0"/>
      <w:spacing w:before="50" w:beforeLines="50" w:after="50" w:afterLines="50"/>
      <w:outlineLvl w:val="0"/>
    </w:pPr>
    <w:rPr>
      <w:rFonts w:hint="eastAsia" w:eastAsia="Times New Roman"/>
      <w:caps/>
      <w:color w:val="000000"/>
    </w:rPr>
  </w:style>
  <w:style w:type="paragraph" w:customStyle="1" w:styleId="45">
    <w:name w:val="一级标题 黑体5号加粗"/>
    <w:basedOn w:val="1"/>
    <w:link w:val="62"/>
    <w:qFormat/>
    <w:uiPriority w:val="0"/>
    <w:pPr>
      <w:keepNext/>
      <w:keepLines/>
      <w:widowControl w:val="0"/>
      <w:adjustRightInd w:val="0"/>
      <w:snapToGrid w:val="0"/>
      <w:spacing w:before="50" w:beforeLines="50" w:after="50" w:afterLines="50"/>
      <w:jc w:val="both"/>
    </w:pPr>
    <w:rPr>
      <w:rFonts w:hint="eastAsia" w:ascii="黑体" w:hAnsi="黑体" w:eastAsia="黑体" w:cs="宋体"/>
      <w:bCs/>
      <w:kern w:val="2"/>
      <w:szCs w:val="21"/>
    </w:rPr>
  </w:style>
  <w:style w:type="paragraph" w:customStyle="1" w:styleId="46">
    <w:name w:val="制度  英文1级标题"/>
    <w:basedOn w:val="1"/>
    <w:qFormat/>
    <w:uiPriority w:val="0"/>
    <w:pPr>
      <w:keepNext/>
      <w:keepLines/>
      <w:tabs>
        <w:tab w:val="left" w:pos="211"/>
        <w:tab w:val="clear" w:pos="420"/>
      </w:tabs>
      <w:adjustRightInd w:val="0"/>
      <w:snapToGrid w:val="0"/>
      <w:spacing w:before="50" w:beforeLines="50" w:after="50" w:afterLines="50"/>
      <w:jc w:val="both"/>
    </w:pPr>
    <w:rPr>
      <w:rFonts w:hint="eastAsia" w:ascii="Times New Roman" w:hAnsi="Times New Roman" w:eastAsia="Times New Roman"/>
      <w:b/>
      <w:bCs/>
      <w:caps/>
      <w:smallCaps/>
      <w:color w:val="000000"/>
      <w:szCs w:val="21"/>
    </w:rPr>
  </w:style>
  <w:style w:type="character" w:customStyle="1" w:styleId="47">
    <w:name w:val="标题 1 Char"/>
    <w:link w:val="26"/>
    <w:qFormat/>
    <w:uiPriority w:val="0"/>
    <w:rPr>
      <w:b/>
      <w:kern w:val="44"/>
      <w:sz w:val="44"/>
    </w:rPr>
  </w:style>
  <w:style w:type="character" w:customStyle="1" w:styleId="48">
    <w:name w:val="批注框文本 字符"/>
    <w:link w:val="9"/>
    <w:semiHidden/>
    <w:qFormat/>
    <w:uiPriority w:val="99"/>
    <w:rPr>
      <w:kern w:val="2"/>
      <w:sz w:val="18"/>
      <w:szCs w:val="18"/>
    </w:rPr>
  </w:style>
  <w:style w:type="character" w:customStyle="1" w:styleId="49">
    <w:name w:val="批注文字 字符"/>
    <w:basedOn w:val="23"/>
    <w:link w:val="4"/>
    <w:qFormat/>
    <w:uiPriority w:val="99"/>
    <w:rPr>
      <w:rFonts w:eastAsia="Calibri" w:cs="Times New Roman"/>
    </w:rPr>
  </w:style>
  <w:style w:type="character" w:customStyle="1" w:styleId="50">
    <w:name w:val="批注主题 字符"/>
    <w:basedOn w:val="49"/>
    <w:link w:val="20"/>
    <w:semiHidden/>
    <w:qFormat/>
    <w:uiPriority w:val="99"/>
    <w:rPr>
      <w:rFonts w:eastAsia="Calibri" w:cs="Times New Roman"/>
      <w:b/>
      <w:bCs/>
    </w:rPr>
  </w:style>
  <w:style w:type="character" w:customStyle="1" w:styleId="51">
    <w:name w:val="apple-style-span"/>
    <w:basedOn w:val="23"/>
    <w:qFormat/>
    <w:uiPriority w:val="0"/>
  </w:style>
  <w:style w:type="character" w:customStyle="1" w:styleId="52">
    <w:name w:val="font41"/>
    <w:basedOn w:val="23"/>
    <w:qFormat/>
    <w:uiPriority w:val="0"/>
    <w:rPr>
      <w:rFonts w:hint="eastAsia" w:ascii="宋体" w:hAnsi="宋体" w:eastAsia="宋体" w:cs="宋体"/>
      <w:color w:val="000000"/>
      <w:sz w:val="20"/>
      <w:szCs w:val="20"/>
      <w:u w:val="none"/>
    </w:rPr>
  </w:style>
  <w:style w:type="character" w:customStyle="1" w:styleId="53">
    <w:name w:val="font11"/>
    <w:basedOn w:val="23"/>
    <w:qFormat/>
    <w:uiPriority w:val="0"/>
    <w:rPr>
      <w:rFonts w:ascii="仿宋" w:hAnsi="仿宋" w:eastAsia="仿宋" w:cs="仿宋"/>
      <w:color w:val="000000"/>
      <w:sz w:val="22"/>
      <w:szCs w:val="22"/>
      <w:u w:val="none"/>
      <w:vertAlign w:val="subscript"/>
    </w:rPr>
  </w:style>
  <w:style w:type="character" w:customStyle="1" w:styleId="54">
    <w:name w:val="font31"/>
    <w:basedOn w:val="23"/>
    <w:qFormat/>
    <w:uiPriority w:val="0"/>
    <w:rPr>
      <w:rFonts w:hint="eastAsia" w:ascii="仿宋" w:hAnsi="仿宋" w:eastAsia="仿宋" w:cs="仿宋"/>
      <w:color w:val="000000"/>
      <w:sz w:val="22"/>
      <w:szCs w:val="22"/>
      <w:u w:val="none"/>
    </w:rPr>
  </w:style>
  <w:style w:type="character" w:customStyle="1" w:styleId="55">
    <w:name w:val="font51"/>
    <w:basedOn w:val="23"/>
    <w:qFormat/>
    <w:uiPriority w:val="0"/>
    <w:rPr>
      <w:rFonts w:hint="eastAsia" w:ascii="宋体" w:hAnsi="宋体" w:eastAsia="宋体" w:cs="宋体"/>
      <w:color w:val="000000"/>
      <w:sz w:val="20"/>
      <w:szCs w:val="20"/>
      <w:u w:val="none"/>
    </w:rPr>
  </w:style>
  <w:style w:type="character" w:customStyle="1" w:styleId="56">
    <w:name w:val="font91"/>
    <w:basedOn w:val="23"/>
    <w:qFormat/>
    <w:uiPriority w:val="0"/>
    <w:rPr>
      <w:rFonts w:hint="eastAsia" w:ascii="仿宋" w:hAnsi="仿宋" w:eastAsia="仿宋" w:cs="仿宋"/>
      <w:color w:val="FF0000"/>
      <w:sz w:val="22"/>
      <w:szCs w:val="22"/>
      <w:u w:val="none"/>
      <w:vertAlign w:val="subscript"/>
    </w:rPr>
  </w:style>
  <w:style w:type="character" w:customStyle="1" w:styleId="57">
    <w:name w:val="font21"/>
    <w:basedOn w:val="23"/>
    <w:qFormat/>
    <w:uiPriority w:val="0"/>
    <w:rPr>
      <w:rFonts w:hint="eastAsia" w:ascii="宋体" w:hAnsi="宋体" w:eastAsia="宋体" w:cs="宋体"/>
      <w:color w:val="FF0000"/>
      <w:sz w:val="20"/>
      <w:szCs w:val="20"/>
      <w:u w:val="none"/>
    </w:rPr>
  </w:style>
  <w:style w:type="character" w:customStyle="1" w:styleId="58">
    <w:name w:val="font101"/>
    <w:basedOn w:val="23"/>
    <w:qFormat/>
    <w:uiPriority w:val="0"/>
    <w:rPr>
      <w:rFonts w:ascii="Arial" w:hAnsi="Arial" w:cs="Arial"/>
      <w:color w:val="FF0000"/>
      <w:sz w:val="20"/>
      <w:szCs w:val="20"/>
      <w:u w:val="none"/>
    </w:rPr>
  </w:style>
  <w:style w:type="character" w:customStyle="1" w:styleId="59">
    <w:name w:val="font81"/>
    <w:basedOn w:val="23"/>
    <w:qFormat/>
    <w:uiPriority w:val="0"/>
    <w:rPr>
      <w:rFonts w:hint="eastAsia" w:ascii="宋体" w:hAnsi="宋体" w:eastAsia="宋体" w:cs="宋体"/>
      <w:color w:val="000000"/>
      <w:sz w:val="20"/>
      <w:szCs w:val="20"/>
      <w:u w:val="none"/>
    </w:rPr>
  </w:style>
  <w:style w:type="character" w:customStyle="1" w:styleId="60">
    <w:name w:val="font71"/>
    <w:basedOn w:val="23"/>
    <w:qFormat/>
    <w:uiPriority w:val="0"/>
    <w:rPr>
      <w:rFonts w:hint="eastAsia" w:ascii="仿宋" w:hAnsi="仿宋" w:eastAsia="仿宋" w:cs="仿宋"/>
      <w:color w:val="000000"/>
      <w:sz w:val="22"/>
      <w:szCs w:val="22"/>
      <w:u w:val="none"/>
      <w:vertAlign w:val="subscript"/>
    </w:rPr>
  </w:style>
  <w:style w:type="character" w:customStyle="1" w:styleId="61">
    <w:name w:val="font61"/>
    <w:basedOn w:val="23"/>
    <w:qFormat/>
    <w:uiPriority w:val="0"/>
    <w:rPr>
      <w:rFonts w:hint="eastAsia" w:ascii="仿宋" w:hAnsi="仿宋" w:eastAsia="仿宋" w:cs="仿宋"/>
      <w:color w:val="000000"/>
      <w:sz w:val="22"/>
      <w:szCs w:val="22"/>
      <w:u w:val="none"/>
    </w:rPr>
  </w:style>
  <w:style w:type="character" w:customStyle="1" w:styleId="62">
    <w:name w:val="一级标题 黑体5号加粗 Char"/>
    <w:link w:val="45"/>
    <w:qFormat/>
    <w:uiPriority w:val="0"/>
    <w:rPr>
      <w:rFonts w:hint="eastAsia" w:ascii="黑体" w:hAnsi="黑体" w:eastAsia="黑体" w:cs="宋体"/>
      <w:bCs/>
      <w:kern w:val="2"/>
      <w:sz w:val="21"/>
      <w:szCs w:val="21"/>
    </w:rPr>
  </w:style>
  <w:style w:type="character" w:customStyle="1" w:styleId="63">
    <w:name w:val="font01"/>
    <w:basedOn w:val="23"/>
    <w:qFormat/>
    <w:uiPriority w:val="0"/>
    <w:rPr>
      <w:rFonts w:hint="eastAsia" w:ascii="宋体" w:hAnsi="宋体" w:eastAsia="宋体" w:cs="宋体"/>
      <w:color w:val="000000"/>
      <w:sz w:val="15"/>
      <w:szCs w:val="15"/>
      <w:u w:val="none"/>
      <w:vertAlign w:val="subscript"/>
    </w:rPr>
  </w:style>
  <w:style w:type="table" w:customStyle="1" w:styleId="64">
    <w:name w:val="Table Normal"/>
    <w:unhideWhenUsed/>
    <w:qFormat/>
    <w:uiPriority w:val="0"/>
    <w:tblPr>
      <w:tblCellMar>
        <w:top w:w="0" w:type="dxa"/>
        <w:left w:w="0" w:type="dxa"/>
        <w:bottom w:w="0" w:type="dxa"/>
        <w:right w:w="0" w:type="dxa"/>
      </w:tblCellMar>
    </w:tblPr>
  </w:style>
  <w:style w:type="paragraph" w:customStyle="1" w:styleId="65">
    <w:name w:val="样式标题"/>
    <w:basedOn w:val="1"/>
    <w:link w:val="67"/>
    <w:qFormat/>
    <w:uiPriority w:val="0"/>
    <w:pPr>
      <w:tabs>
        <w:tab w:val="right" w:pos="9070"/>
        <w:tab w:val="clear" w:pos="420"/>
      </w:tabs>
      <w:spacing w:before="640" w:after="120" w:line="300" w:lineRule="auto"/>
      <w:jc w:val="center"/>
    </w:pPr>
    <w:rPr>
      <w:rFonts w:hint="eastAsia" w:ascii="黑体" w:hAnsi="黑体" w:eastAsia="黑体" w:cs="黑体"/>
      <w:color w:val="000000"/>
      <w:sz w:val="32"/>
      <w:szCs w:val="32"/>
    </w:rPr>
  </w:style>
  <w:style w:type="paragraph" w:customStyle="1" w:styleId="66">
    <w:name w:val="样式1"/>
    <w:basedOn w:val="1"/>
    <w:qFormat/>
    <w:uiPriority w:val="0"/>
    <w:pPr>
      <w:tabs>
        <w:tab w:val="right" w:pos="9070"/>
        <w:tab w:val="clear" w:pos="420"/>
      </w:tabs>
      <w:spacing w:before="640" w:after="120" w:line="300" w:lineRule="auto"/>
      <w:jc w:val="center"/>
    </w:pPr>
    <w:rPr>
      <w:rFonts w:hint="eastAsia" w:ascii="黑体" w:hAnsi="黑体" w:eastAsia="黑体" w:cs="黑体"/>
      <w:color w:val="000000"/>
      <w:sz w:val="32"/>
      <w:szCs w:val="32"/>
    </w:rPr>
  </w:style>
  <w:style w:type="character" w:customStyle="1" w:styleId="67">
    <w:name w:val="样式标题 Char"/>
    <w:link w:val="65"/>
    <w:qFormat/>
    <w:uiPriority w:val="0"/>
    <w:rPr>
      <w:rFonts w:hint="eastAsia" w:ascii="黑体" w:hAnsi="黑体" w:eastAsia="黑体" w:cs="黑体"/>
      <w:color w:val="000000"/>
      <w:sz w:val="32"/>
      <w:szCs w:val="32"/>
    </w:rPr>
  </w:style>
  <w:style w:type="paragraph" w:customStyle="1" w:styleId="6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69">
    <w:name w:val="Revision"/>
    <w:hidden/>
    <w:semiHidden/>
    <w:qFormat/>
    <w:uiPriority w:val="99"/>
    <w:rPr>
      <w:rFonts w:ascii="Calibri" w:hAnsi="Calibri" w:eastAsia="宋体" w:cs="Times New Roman"/>
      <w:sz w:val="21"/>
      <w:lang w:val="en-US" w:eastAsia="zh-CN" w:bidi="ar-SA"/>
    </w:rPr>
  </w:style>
  <w:style w:type="paragraph" w:styleId="70">
    <w:name w:val="List Paragraph"/>
    <w:basedOn w:val="1"/>
    <w:qFormat/>
    <w:uiPriority w:val="34"/>
    <w:pPr>
      <w:ind w:firstLine="420" w:firstLineChars="200"/>
      <w:jc w:val="both"/>
    </w:pPr>
    <w:rPr>
      <w:rFonts w:ascii="等线" w:hAnsi="等线" w:eastAsia="等线" w:cs="Times New Roman"/>
      <w:sz w:val="21"/>
      <w:szCs w:val="24"/>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2933</Words>
  <Characters>2982</Characters>
  <Lines>142</Lines>
  <Paragraphs>39</Paragraphs>
  <TotalTime>0</TotalTime>
  <ScaleCrop>false</ScaleCrop>
  <LinksUpToDate>false</LinksUpToDate>
  <CharactersWithSpaces>3020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2023-01-29T01:28:00Z</dcterms:created>
  <dc:creator>万户网络</dc:creator>
  <cp:lastModifiedBy>零下270.15K</cp:lastModifiedBy>
  <dcterms:modified xsi:type="dcterms:W3CDTF">2023-11-24T01:37:17Z</dcterms:modified>
  <dc:title>紫金铜业有限公司精矿库区域装卸作业管理制度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69C03484ECF64BECB412C6B5CCDB443E</vt:lpwstr>
  </property>
</Properties>
</file>